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6" w14:textId="77777777" w:rsidR="001D64D0" w:rsidRPr="006644B0" w:rsidRDefault="009245D5" w:rsidP="006644B0">
      <w:pPr>
        <w:spacing w:line="276" w:lineRule="auto"/>
        <w:rPr>
          <w:rFonts w:asciiTheme="majorHAnsi" w:hAnsiTheme="majorHAnsi" w:cstheme="majorHAnsi"/>
          <w:b/>
          <w:color w:val="000000"/>
          <w:sz w:val="22"/>
          <w:szCs w:val="22"/>
        </w:rPr>
      </w:pPr>
      <w:r w:rsidRPr="006644B0">
        <w:rPr>
          <w:rFonts w:asciiTheme="majorHAnsi" w:hAnsiTheme="majorHAnsi" w:cstheme="majorHAnsi"/>
          <w:b/>
          <w:i/>
          <w:color w:val="000000"/>
          <w:sz w:val="22"/>
          <w:szCs w:val="22"/>
        </w:rPr>
        <w:t>Via electronic mail</w:t>
      </w:r>
    </w:p>
    <w:p w14:paraId="00000007" w14:textId="77777777" w:rsidR="001D64D0" w:rsidRPr="006644B0" w:rsidRDefault="001D64D0" w:rsidP="006644B0">
      <w:pPr>
        <w:spacing w:line="276" w:lineRule="auto"/>
        <w:rPr>
          <w:rFonts w:asciiTheme="majorHAnsi" w:hAnsiTheme="majorHAnsi" w:cstheme="majorHAnsi"/>
          <w:color w:val="000000"/>
          <w:sz w:val="22"/>
          <w:szCs w:val="22"/>
        </w:rPr>
      </w:pPr>
    </w:p>
    <w:p w14:paraId="00000008" w14:textId="142073AD" w:rsidR="001D64D0" w:rsidRPr="006644B0" w:rsidRDefault="009245D5" w:rsidP="006644B0">
      <w:pP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President </w:t>
      </w:r>
      <w:proofErr w:type="spellStart"/>
      <w:r w:rsidRPr="006644B0">
        <w:rPr>
          <w:rFonts w:asciiTheme="majorHAnsi" w:hAnsiTheme="majorHAnsi" w:cstheme="majorHAnsi"/>
          <w:color w:val="000000"/>
          <w:sz w:val="22"/>
          <w:szCs w:val="22"/>
        </w:rPr>
        <w:t>Jin</w:t>
      </w:r>
      <w:proofErr w:type="spellEnd"/>
      <w:r w:rsidR="00B65D49">
        <w:rPr>
          <w:rFonts w:asciiTheme="majorHAnsi" w:hAnsiTheme="majorHAnsi" w:cstheme="majorHAnsi"/>
          <w:color w:val="000000"/>
          <w:sz w:val="22"/>
          <w:szCs w:val="22"/>
        </w:rPr>
        <w:t xml:space="preserve"> </w:t>
      </w:r>
      <w:proofErr w:type="spellStart"/>
      <w:r w:rsidR="00B65D49">
        <w:rPr>
          <w:rFonts w:asciiTheme="majorHAnsi" w:hAnsiTheme="majorHAnsi" w:cstheme="majorHAnsi"/>
          <w:color w:val="000000"/>
          <w:sz w:val="22"/>
          <w:szCs w:val="22"/>
        </w:rPr>
        <w:t>Liqun</w:t>
      </w:r>
      <w:proofErr w:type="spellEnd"/>
    </w:p>
    <w:p w14:paraId="00000009" w14:textId="77777777" w:rsidR="001D64D0" w:rsidRPr="006644B0" w:rsidRDefault="009245D5" w:rsidP="006644B0">
      <w:pP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Asian Infrastructure Investment Bank</w:t>
      </w:r>
    </w:p>
    <w:p w14:paraId="0000000A" w14:textId="77777777" w:rsidR="001D64D0" w:rsidRPr="006644B0" w:rsidRDefault="009245D5" w:rsidP="006644B0">
      <w:pP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B9 Financial Street</w:t>
      </w:r>
    </w:p>
    <w:p w14:paraId="0000000B" w14:textId="77777777" w:rsidR="001D64D0" w:rsidRPr="006644B0" w:rsidRDefault="009245D5" w:rsidP="006644B0">
      <w:pP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Xicheng District</w:t>
      </w:r>
    </w:p>
    <w:p w14:paraId="0000000C" w14:textId="77777777" w:rsidR="001D64D0" w:rsidRPr="006644B0" w:rsidRDefault="009245D5" w:rsidP="006644B0">
      <w:pP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Beijing 10033</w:t>
      </w:r>
    </w:p>
    <w:p w14:paraId="0000000D" w14:textId="77777777" w:rsidR="001D64D0" w:rsidRPr="006644B0" w:rsidRDefault="009245D5" w:rsidP="006644B0">
      <w:pP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People’s Republic of China</w:t>
      </w:r>
    </w:p>
    <w:p w14:paraId="0000000E" w14:textId="77777777" w:rsidR="001D64D0" w:rsidRPr="006644B0" w:rsidRDefault="001D64D0" w:rsidP="006644B0">
      <w:pPr>
        <w:spacing w:line="276" w:lineRule="auto"/>
        <w:rPr>
          <w:rFonts w:asciiTheme="majorHAnsi" w:hAnsiTheme="majorHAnsi" w:cstheme="majorHAnsi"/>
          <w:color w:val="000000"/>
          <w:sz w:val="22"/>
          <w:szCs w:val="22"/>
        </w:rPr>
      </w:pPr>
    </w:p>
    <w:p w14:paraId="0000000F" w14:textId="77777777" w:rsidR="001D64D0" w:rsidRPr="006644B0" w:rsidRDefault="009245D5" w:rsidP="006644B0">
      <w:pPr>
        <w:spacing w:line="276" w:lineRule="auto"/>
        <w:jc w:val="right"/>
        <w:rPr>
          <w:rFonts w:asciiTheme="majorHAnsi" w:hAnsiTheme="majorHAnsi" w:cstheme="majorHAnsi"/>
          <w:color w:val="000000"/>
          <w:sz w:val="22"/>
          <w:szCs w:val="22"/>
        </w:rPr>
      </w:pPr>
      <w:bookmarkStart w:id="0" w:name="_GoBack"/>
      <w:bookmarkEnd w:id="0"/>
      <w:r w:rsidRPr="006644B0">
        <w:rPr>
          <w:rFonts w:asciiTheme="majorHAnsi" w:hAnsiTheme="majorHAnsi" w:cstheme="majorHAnsi"/>
          <w:color w:val="000000"/>
          <w:sz w:val="22"/>
          <w:szCs w:val="22"/>
        </w:rPr>
        <w:t>1</w:t>
      </w:r>
      <w:r w:rsidRPr="006644B0">
        <w:rPr>
          <w:rFonts w:asciiTheme="majorHAnsi" w:hAnsiTheme="majorHAnsi" w:cstheme="majorHAnsi"/>
          <w:sz w:val="22"/>
          <w:szCs w:val="22"/>
        </w:rPr>
        <w:t>3</w:t>
      </w:r>
      <w:r w:rsidRPr="006644B0">
        <w:rPr>
          <w:rFonts w:asciiTheme="majorHAnsi" w:hAnsiTheme="majorHAnsi" w:cstheme="majorHAnsi"/>
          <w:color w:val="000000"/>
          <w:sz w:val="22"/>
          <w:szCs w:val="22"/>
        </w:rPr>
        <w:t>th September 2019</w:t>
      </w:r>
    </w:p>
    <w:p w14:paraId="00000010" w14:textId="77777777" w:rsidR="001D64D0" w:rsidRPr="006644B0" w:rsidRDefault="001D64D0" w:rsidP="006644B0">
      <w:pPr>
        <w:spacing w:line="276" w:lineRule="auto"/>
        <w:rPr>
          <w:rFonts w:asciiTheme="majorHAnsi" w:hAnsiTheme="majorHAnsi" w:cstheme="majorHAnsi"/>
          <w:color w:val="000000"/>
          <w:sz w:val="22"/>
          <w:szCs w:val="22"/>
        </w:rPr>
      </w:pPr>
    </w:p>
    <w:p w14:paraId="00000011" w14:textId="77777777" w:rsidR="001D64D0" w:rsidRPr="006644B0" w:rsidRDefault="009245D5" w:rsidP="006644B0">
      <w:pP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Copied to: </w:t>
      </w:r>
    </w:p>
    <w:p w14:paraId="00000012" w14:textId="77777777" w:rsidR="001D64D0" w:rsidRPr="006644B0" w:rsidRDefault="009245D5" w:rsidP="006644B0">
      <w:pP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Mr. Joachim Von </w:t>
      </w:r>
      <w:proofErr w:type="spellStart"/>
      <w:r w:rsidRPr="006644B0">
        <w:rPr>
          <w:rFonts w:asciiTheme="majorHAnsi" w:hAnsiTheme="majorHAnsi" w:cstheme="majorHAnsi"/>
          <w:color w:val="000000"/>
          <w:sz w:val="22"/>
          <w:szCs w:val="22"/>
        </w:rPr>
        <w:t>Amsberg</w:t>
      </w:r>
      <w:proofErr w:type="spellEnd"/>
      <w:r w:rsidRPr="006644B0">
        <w:rPr>
          <w:rFonts w:asciiTheme="majorHAnsi" w:hAnsiTheme="majorHAnsi" w:cstheme="majorHAnsi"/>
          <w:color w:val="000000"/>
          <w:sz w:val="22"/>
          <w:szCs w:val="22"/>
        </w:rPr>
        <w:t xml:space="preserve">, Vice President, jvonamsberg@aiib.org </w:t>
      </w:r>
    </w:p>
    <w:p w14:paraId="00000013" w14:textId="77777777" w:rsidR="001D64D0" w:rsidRPr="006644B0" w:rsidRDefault="009245D5" w:rsidP="006644B0">
      <w:pPr>
        <w:spacing w:line="276" w:lineRule="auto"/>
        <w:rPr>
          <w:rFonts w:asciiTheme="majorHAnsi" w:hAnsiTheme="majorHAnsi" w:cstheme="majorHAnsi"/>
          <w:color w:val="000000"/>
          <w:sz w:val="22"/>
          <w:szCs w:val="22"/>
        </w:rPr>
      </w:pPr>
      <w:proofErr w:type="spellStart"/>
      <w:r w:rsidRPr="006644B0">
        <w:rPr>
          <w:rFonts w:asciiTheme="majorHAnsi" w:hAnsiTheme="majorHAnsi" w:cstheme="majorHAnsi"/>
          <w:color w:val="000000"/>
          <w:sz w:val="22"/>
          <w:szCs w:val="22"/>
        </w:rPr>
        <w:t>Dr.</w:t>
      </w:r>
      <w:proofErr w:type="spellEnd"/>
      <w:r w:rsidRPr="006644B0">
        <w:rPr>
          <w:rFonts w:asciiTheme="majorHAnsi" w:hAnsiTheme="majorHAnsi" w:cstheme="majorHAnsi"/>
          <w:color w:val="000000"/>
          <w:sz w:val="22"/>
          <w:szCs w:val="22"/>
        </w:rPr>
        <w:t xml:space="preserve"> D.J. Pandian, Vice President, djpandian@aiib.org </w:t>
      </w:r>
    </w:p>
    <w:p w14:paraId="00000014" w14:textId="77777777" w:rsidR="001D64D0" w:rsidRPr="006644B0" w:rsidRDefault="009245D5" w:rsidP="006644B0">
      <w:pP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Mr. Dong-</w:t>
      </w:r>
      <w:proofErr w:type="spellStart"/>
      <w:r w:rsidRPr="006644B0">
        <w:rPr>
          <w:rFonts w:asciiTheme="majorHAnsi" w:hAnsiTheme="majorHAnsi" w:cstheme="majorHAnsi"/>
          <w:color w:val="000000"/>
          <w:sz w:val="22"/>
          <w:szCs w:val="22"/>
        </w:rPr>
        <w:t>Ik</w:t>
      </w:r>
      <w:proofErr w:type="spellEnd"/>
      <w:r w:rsidRPr="006644B0">
        <w:rPr>
          <w:rFonts w:asciiTheme="majorHAnsi" w:hAnsiTheme="majorHAnsi" w:cstheme="majorHAnsi"/>
          <w:color w:val="000000"/>
          <w:sz w:val="22"/>
          <w:szCs w:val="22"/>
        </w:rPr>
        <w:t xml:space="preserve"> Lee, Project Team Leader, dongik.lee@aiib.org </w:t>
      </w:r>
    </w:p>
    <w:p w14:paraId="00000015" w14:textId="77777777" w:rsidR="001D64D0" w:rsidRPr="006644B0" w:rsidRDefault="009245D5" w:rsidP="006644B0">
      <w:pP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Mr. Hamid Sharif, Director General, CEIU, hsharif@aiib.org </w:t>
      </w:r>
    </w:p>
    <w:p w14:paraId="00000016" w14:textId="77777777" w:rsidR="001D64D0" w:rsidRPr="006644B0" w:rsidRDefault="009245D5" w:rsidP="006644B0">
      <w:pP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Mr Calvin Quek, Principal Communications Officer, calvin.quek@aiib.org </w:t>
      </w:r>
    </w:p>
    <w:p w14:paraId="00000017" w14:textId="77777777" w:rsidR="001D64D0" w:rsidRPr="006644B0" w:rsidRDefault="009245D5" w:rsidP="006644B0">
      <w:pP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Mr. Henri de </w:t>
      </w:r>
      <w:proofErr w:type="spellStart"/>
      <w:r w:rsidRPr="006644B0">
        <w:rPr>
          <w:rFonts w:asciiTheme="majorHAnsi" w:hAnsiTheme="majorHAnsi" w:cstheme="majorHAnsi"/>
          <w:color w:val="000000"/>
          <w:sz w:val="22"/>
          <w:szCs w:val="22"/>
        </w:rPr>
        <w:t>Branche</w:t>
      </w:r>
      <w:proofErr w:type="spellEnd"/>
      <w:r w:rsidRPr="006644B0">
        <w:rPr>
          <w:rFonts w:asciiTheme="majorHAnsi" w:hAnsiTheme="majorHAnsi" w:cstheme="majorHAnsi"/>
          <w:color w:val="000000"/>
          <w:sz w:val="22"/>
          <w:szCs w:val="22"/>
        </w:rPr>
        <w:t xml:space="preserve">, Senior Environmental Specialist, henri.debranche@aiib.org </w:t>
      </w:r>
    </w:p>
    <w:p w14:paraId="00000018" w14:textId="77777777" w:rsidR="001D64D0" w:rsidRPr="006644B0" w:rsidRDefault="009245D5" w:rsidP="006644B0">
      <w:pP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Members of the Board of Directors of the AIIB</w:t>
      </w:r>
    </w:p>
    <w:p w14:paraId="00000019" w14:textId="77777777" w:rsidR="001D64D0" w:rsidRPr="006644B0" w:rsidRDefault="001D64D0" w:rsidP="006644B0">
      <w:pPr>
        <w:spacing w:line="276" w:lineRule="auto"/>
        <w:jc w:val="both"/>
        <w:rPr>
          <w:rFonts w:asciiTheme="majorHAnsi" w:hAnsiTheme="majorHAnsi" w:cstheme="majorHAnsi"/>
          <w:b/>
          <w:color w:val="000000"/>
          <w:sz w:val="22"/>
          <w:szCs w:val="22"/>
        </w:rPr>
      </w:pPr>
    </w:p>
    <w:p w14:paraId="0000001A" w14:textId="77777777" w:rsidR="001D64D0" w:rsidRPr="006644B0" w:rsidRDefault="001D64D0" w:rsidP="006644B0">
      <w:pPr>
        <w:spacing w:line="276" w:lineRule="auto"/>
        <w:jc w:val="both"/>
        <w:rPr>
          <w:rFonts w:asciiTheme="majorHAnsi" w:hAnsiTheme="majorHAnsi" w:cstheme="majorHAnsi"/>
          <w:b/>
          <w:color w:val="000000"/>
          <w:sz w:val="22"/>
          <w:szCs w:val="22"/>
        </w:rPr>
      </w:pPr>
    </w:p>
    <w:p w14:paraId="0000001B" w14:textId="6C12D5CD" w:rsidR="001D64D0" w:rsidRPr="006644B0" w:rsidRDefault="009245D5" w:rsidP="006644B0">
      <w:pPr>
        <w:spacing w:line="276" w:lineRule="auto"/>
        <w:jc w:val="both"/>
        <w:rPr>
          <w:rFonts w:asciiTheme="majorHAnsi" w:hAnsiTheme="majorHAnsi" w:cstheme="majorHAnsi"/>
          <w:b/>
          <w:color w:val="000000"/>
          <w:sz w:val="22"/>
          <w:szCs w:val="22"/>
        </w:rPr>
      </w:pPr>
      <w:r w:rsidRPr="006644B0">
        <w:rPr>
          <w:rFonts w:asciiTheme="majorHAnsi" w:hAnsiTheme="majorHAnsi" w:cstheme="majorHAnsi"/>
          <w:b/>
          <w:color w:val="000000"/>
          <w:sz w:val="22"/>
          <w:szCs w:val="22"/>
        </w:rPr>
        <w:t>Re: The AIIB’s investments in financial intermediaries: Urgent reforms needed</w:t>
      </w:r>
    </w:p>
    <w:p w14:paraId="0000001C" w14:textId="77777777" w:rsidR="001D64D0" w:rsidRPr="006644B0" w:rsidRDefault="001D64D0" w:rsidP="006644B0">
      <w:pPr>
        <w:spacing w:line="276" w:lineRule="auto"/>
        <w:jc w:val="both"/>
        <w:rPr>
          <w:rFonts w:asciiTheme="majorHAnsi" w:hAnsiTheme="majorHAnsi" w:cstheme="majorHAnsi"/>
          <w:color w:val="000000"/>
          <w:sz w:val="22"/>
          <w:szCs w:val="22"/>
        </w:rPr>
      </w:pPr>
    </w:p>
    <w:p w14:paraId="0000001D" w14:textId="77777777" w:rsidR="001D64D0" w:rsidRPr="006644B0" w:rsidRDefault="001D64D0" w:rsidP="006644B0">
      <w:pPr>
        <w:spacing w:line="276" w:lineRule="auto"/>
        <w:jc w:val="both"/>
        <w:rPr>
          <w:rFonts w:asciiTheme="majorHAnsi" w:hAnsiTheme="majorHAnsi" w:cstheme="majorHAnsi"/>
          <w:color w:val="000000"/>
          <w:sz w:val="22"/>
          <w:szCs w:val="22"/>
        </w:rPr>
      </w:pPr>
    </w:p>
    <w:p w14:paraId="0000001E" w14:textId="722887B3" w:rsidR="001D64D0" w:rsidRPr="006644B0" w:rsidRDefault="009245D5" w:rsidP="006644B0">
      <w:pPr>
        <w:spacing w:line="276" w:lineRule="auto"/>
        <w:jc w:val="both"/>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Dear </w:t>
      </w:r>
      <w:proofErr w:type="gramStart"/>
      <w:r w:rsidRPr="006644B0">
        <w:rPr>
          <w:rFonts w:asciiTheme="majorHAnsi" w:hAnsiTheme="majorHAnsi" w:cstheme="majorHAnsi"/>
          <w:color w:val="000000"/>
          <w:sz w:val="22"/>
          <w:szCs w:val="22"/>
        </w:rPr>
        <w:t>President</w:t>
      </w:r>
      <w:proofErr w:type="gramEnd"/>
      <w:r w:rsidRPr="006644B0">
        <w:rPr>
          <w:rFonts w:asciiTheme="majorHAnsi" w:hAnsiTheme="majorHAnsi" w:cstheme="majorHAnsi"/>
          <w:color w:val="000000"/>
          <w:sz w:val="22"/>
          <w:szCs w:val="22"/>
        </w:rPr>
        <w:t xml:space="preserve"> </w:t>
      </w:r>
      <w:proofErr w:type="spellStart"/>
      <w:r w:rsidRPr="006644B0">
        <w:rPr>
          <w:rFonts w:asciiTheme="majorHAnsi" w:hAnsiTheme="majorHAnsi" w:cstheme="majorHAnsi"/>
          <w:color w:val="000000"/>
          <w:sz w:val="22"/>
          <w:szCs w:val="22"/>
        </w:rPr>
        <w:t>Jin</w:t>
      </w:r>
      <w:proofErr w:type="spellEnd"/>
      <w:r w:rsidR="00F91EFC">
        <w:rPr>
          <w:rFonts w:asciiTheme="majorHAnsi" w:hAnsiTheme="majorHAnsi" w:cstheme="majorHAnsi"/>
          <w:color w:val="000000"/>
          <w:sz w:val="22"/>
          <w:szCs w:val="22"/>
        </w:rPr>
        <w:t xml:space="preserve"> </w:t>
      </w:r>
      <w:proofErr w:type="spellStart"/>
      <w:r w:rsidR="00F91EFC">
        <w:rPr>
          <w:rFonts w:asciiTheme="majorHAnsi" w:hAnsiTheme="majorHAnsi" w:cstheme="majorHAnsi"/>
          <w:color w:val="000000"/>
          <w:sz w:val="22"/>
          <w:szCs w:val="22"/>
        </w:rPr>
        <w:t>Liqun</w:t>
      </w:r>
      <w:proofErr w:type="spellEnd"/>
      <w:r w:rsidRPr="006644B0">
        <w:rPr>
          <w:rFonts w:asciiTheme="majorHAnsi" w:hAnsiTheme="majorHAnsi" w:cstheme="majorHAnsi"/>
          <w:color w:val="000000"/>
          <w:sz w:val="22"/>
          <w:szCs w:val="22"/>
        </w:rPr>
        <w:t>,</w:t>
      </w:r>
    </w:p>
    <w:p w14:paraId="0000001F" w14:textId="77777777" w:rsidR="001D64D0" w:rsidRPr="006644B0" w:rsidRDefault="001D64D0" w:rsidP="006644B0">
      <w:pPr>
        <w:spacing w:line="276" w:lineRule="auto"/>
        <w:jc w:val="both"/>
        <w:rPr>
          <w:rFonts w:asciiTheme="majorHAnsi" w:hAnsiTheme="majorHAnsi" w:cstheme="majorHAnsi"/>
          <w:color w:val="000000"/>
          <w:sz w:val="22"/>
          <w:szCs w:val="22"/>
        </w:rPr>
      </w:pPr>
    </w:p>
    <w:p w14:paraId="00000020" w14:textId="0DF4C781" w:rsidR="001D64D0" w:rsidRPr="006644B0" w:rsidRDefault="009245D5" w:rsidP="006644B0">
      <w:pPr>
        <w:spacing w:line="276" w:lineRule="auto"/>
        <w:jc w:val="both"/>
        <w:rPr>
          <w:rFonts w:asciiTheme="majorHAnsi" w:hAnsiTheme="majorHAnsi" w:cstheme="majorHAnsi"/>
          <w:color w:val="000000"/>
          <w:sz w:val="22"/>
          <w:szCs w:val="22"/>
        </w:rPr>
      </w:pPr>
      <w:r w:rsidRPr="006644B0">
        <w:rPr>
          <w:rFonts w:asciiTheme="majorHAnsi" w:hAnsiTheme="majorHAnsi" w:cstheme="majorHAnsi"/>
          <w:color w:val="000000"/>
          <w:sz w:val="22"/>
          <w:szCs w:val="22"/>
        </w:rPr>
        <w:t>We write to you as representatives of civil society organisations to draw your attention to concerns associated with the AIIB’s investments via financial intermediaries (FIs), and to request that the AIIB institute urgent reforms to manage the heightened social and environmental risks associated with this hands-off form of investing.</w:t>
      </w:r>
      <w:r w:rsidR="00D30601">
        <w:rPr>
          <w:rFonts w:asciiTheme="majorHAnsi" w:hAnsiTheme="majorHAnsi" w:cstheme="majorHAnsi"/>
          <w:color w:val="000000"/>
          <w:sz w:val="22"/>
          <w:szCs w:val="22"/>
        </w:rPr>
        <w:t xml:space="preserve"> This letter follows from our initial letter </w:t>
      </w:r>
      <w:r w:rsidR="004B5824">
        <w:rPr>
          <w:rFonts w:asciiTheme="majorHAnsi" w:hAnsiTheme="majorHAnsi" w:cstheme="majorHAnsi"/>
          <w:color w:val="000000"/>
          <w:sz w:val="22"/>
          <w:szCs w:val="22"/>
        </w:rPr>
        <w:t xml:space="preserve">to you </w:t>
      </w:r>
      <w:r w:rsidR="00D30601">
        <w:rPr>
          <w:rFonts w:asciiTheme="majorHAnsi" w:hAnsiTheme="majorHAnsi" w:cstheme="majorHAnsi"/>
          <w:color w:val="000000"/>
          <w:sz w:val="22"/>
          <w:szCs w:val="22"/>
        </w:rPr>
        <w:t>of 18 January 2018</w:t>
      </w:r>
      <w:r w:rsidR="00D30601">
        <w:rPr>
          <w:rStyle w:val="FootnoteReference"/>
          <w:rFonts w:asciiTheme="majorHAnsi" w:hAnsiTheme="majorHAnsi" w:cstheme="majorHAnsi"/>
          <w:color w:val="000000"/>
          <w:sz w:val="22"/>
          <w:szCs w:val="22"/>
        </w:rPr>
        <w:footnoteReference w:id="1"/>
      </w:r>
      <w:r w:rsidR="00D30601">
        <w:rPr>
          <w:rFonts w:asciiTheme="majorHAnsi" w:hAnsiTheme="majorHAnsi" w:cstheme="majorHAnsi"/>
          <w:color w:val="000000"/>
          <w:sz w:val="22"/>
          <w:szCs w:val="22"/>
        </w:rPr>
        <w:t xml:space="preserve"> on this issue.</w:t>
      </w:r>
    </w:p>
    <w:p w14:paraId="00000021" w14:textId="77777777" w:rsidR="001D64D0" w:rsidRPr="006644B0" w:rsidRDefault="001D64D0" w:rsidP="006644B0">
      <w:pPr>
        <w:spacing w:line="276" w:lineRule="auto"/>
        <w:jc w:val="both"/>
        <w:rPr>
          <w:rFonts w:asciiTheme="majorHAnsi" w:hAnsiTheme="majorHAnsi" w:cstheme="majorHAnsi"/>
          <w:color w:val="000000"/>
          <w:sz w:val="22"/>
          <w:szCs w:val="22"/>
        </w:rPr>
      </w:pPr>
    </w:p>
    <w:p w14:paraId="00000022" w14:textId="4B320EEA" w:rsidR="001D64D0" w:rsidRPr="006644B0" w:rsidRDefault="009245D5" w:rsidP="006644B0">
      <w:pPr>
        <w:spacing w:line="276" w:lineRule="auto"/>
        <w:jc w:val="both"/>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To date, </w:t>
      </w:r>
      <w:r w:rsidRPr="006644B0">
        <w:rPr>
          <w:rFonts w:asciiTheme="majorHAnsi" w:hAnsiTheme="majorHAnsi" w:cstheme="majorHAnsi"/>
          <w:sz w:val="22"/>
          <w:szCs w:val="22"/>
        </w:rPr>
        <w:t>around 10</w:t>
      </w:r>
      <w:r w:rsidRPr="006644B0">
        <w:rPr>
          <w:rFonts w:asciiTheme="majorHAnsi" w:hAnsiTheme="majorHAnsi" w:cstheme="majorHAnsi"/>
          <w:color w:val="000000"/>
          <w:sz w:val="22"/>
          <w:szCs w:val="22"/>
        </w:rPr>
        <w:t xml:space="preserve"> per cent of the overall AIIB investment portfolio is supporting </w:t>
      </w:r>
      <w:r w:rsidRPr="006644B0">
        <w:rPr>
          <w:rFonts w:asciiTheme="majorHAnsi" w:hAnsiTheme="majorHAnsi" w:cstheme="majorHAnsi"/>
          <w:sz w:val="22"/>
          <w:szCs w:val="22"/>
        </w:rPr>
        <w:t>FI</w:t>
      </w:r>
      <w:r w:rsidRPr="006644B0">
        <w:rPr>
          <w:rFonts w:asciiTheme="majorHAnsi" w:hAnsiTheme="majorHAnsi" w:cstheme="majorHAnsi"/>
          <w:color w:val="000000"/>
          <w:sz w:val="22"/>
          <w:szCs w:val="22"/>
        </w:rPr>
        <w:t xml:space="preserve">s - a figure which has risen dramatically in the last two years. The AIIB’s equity strategy makes clear that FI lending will become an increasingly </w:t>
      </w:r>
      <w:r w:rsidR="0015077F">
        <w:rPr>
          <w:rFonts w:asciiTheme="majorHAnsi" w:hAnsiTheme="majorHAnsi" w:cstheme="majorHAnsi"/>
          <w:color w:val="000000"/>
          <w:sz w:val="22"/>
          <w:szCs w:val="22"/>
        </w:rPr>
        <w:t>significant</w:t>
      </w:r>
      <w:r w:rsidRPr="006644B0">
        <w:rPr>
          <w:rFonts w:asciiTheme="majorHAnsi" w:hAnsiTheme="majorHAnsi" w:cstheme="majorHAnsi"/>
          <w:color w:val="000000"/>
          <w:sz w:val="22"/>
          <w:szCs w:val="22"/>
        </w:rPr>
        <w:t xml:space="preserve"> part of the AIIB’s </w:t>
      </w:r>
      <w:r w:rsidR="004B5824">
        <w:rPr>
          <w:rFonts w:asciiTheme="majorHAnsi" w:hAnsiTheme="majorHAnsi" w:cstheme="majorHAnsi"/>
          <w:color w:val="000000"/>
          <w:sz w:val="22"/>
          <w:szCs w:val="22"/>
        </w:rPr>
        <w:t>aim</w:t>
      </w:r>
      <w:r w:rsidRPr="006644B0">
        <w:rPr>
          <w:rFonts w:asciiTheme="majorHAnsi" w:hAnsiTheme="majorHAnsi" w:cstheme="majorHAnsi"/>
          <w:color w:val="000000"/>
          <w:sz w:val="22"/>
          <w:szCs w:val="22"/>
        </w:rPr>
        <w:t xml:space="preserve"> to mobilise funding from the private sector and institutional investors. At the same time as the AIIB’s FI portfolio is growing, there is an important opportunity to ensure the standards governing its implementation are fit for purpose: the forthcoming review of the AIIB’s Environmental and Social Framework (ESF) provides the chance to make sure that the AIIB is following best practice and is taking on board lessons from other peer institutions on FI lending.</w:t>
      </w:r>
    </w:p>
    <w:p w14:paraId="00000023" w14:textId="77777777" w:rsidR="001D64D0" w:rsidRPr="006644B0" w:rsidRDefault="001D64D0" w:rsidP="006644B0">
      <w:pPr>
        <w:spacing w:line="276" w:lineRule="auto"/>
        <w:jc w:val="both"/>
        <w:rPr>
          <w:rFonts w:asciiTheme="majorHAnsi" w:hAnsiTheme="majorHAnsi" w:cstheme="majorHAnsi"/>
          <w:color w:val="000000"/>
          <w:sz w:val="22"/>
          <w:szCs w:val="22"/>
        </w:rPr>
      </w:pPr>
    </w:p>
    <w:p w14:paraId="00000024" w14:textId="43DC5E42" w:rsidR="001D64D0" w:rsidRPr="006644B0" w:rsidRDefault="009245D5" w:rsidP="006644B0">
      <w:pPr>
        <w:spacing w:line="276" w:lineRule="auto"/>
        <w:jc w:val="both"/>
        <w:rPr>
          <w:rFonts w:asciiTheme="majorHAnsi" w:hAnsiTheme="majorHAnsi" w:cstheme="majorHAnsi"/>
          <w:color w:val="000000"/>
          <w:sz w:val="22"/>
          <w:szCs w:val="22"/>
        </w:rPr>
      </w:pPr>
      <w:r w:rsidRPr="006644B0">
        <w:rPr>
          <w:rFonts w:asciiTheme="majorHAnsi" w:hAnsiTheme="majorHAnsi" w:cstheme="majorHAnsi"/>
          <w:color w:val="000000"/>
          <w:sz w:val="22"/>
          <w:szCs w:val="22"/>
        </w:rPr>
        <w:t>While investing in FIs can help mobilise funds and attract private capital for economic development, this form of third-party or ‘hands-off’ lending also comes with significant risks - in particular around clients’ adherence to environmental and social (E&amp;S) safeguards. In recent years, the International Finance Corporation (IFC) - over 50 per cent of whose investment portfolio is to FIs - has been forced to acknowledge these risks and has taken some steps to address them. Following critical findings from both the IFC’s Compliance Advisor Ombudsman (CAO) and from civil society gr</w:t>
      </w:r>
      <w:r w:rsidRPr="006644B0">
        <w:rPr>
          <w:rFonts w:asciiTheme="majorHAnsi" w:hAnsiTheme="majorHAnsi" w:cstheme="majorHAnsi"/>
          <w:sz w:val="22"/>
          <w:szCs w:val="22"/>
        </w:rPr>
        <w:t>oups</w:t>
      </w:r>
      <w:r w:rsidRPr="006644B0">
        <w:rPr>
          <w:rFonts w:asciiTheme="majorHAnsi" w:hAnsiTheme="majorHAnsi" w:cstheme="majorHAnsi"/>
          <w:color w:val="000000"/>
          <w:sz w:val="22"/>
          <w:szCs w:val="22"/>
        </w:rPr>
        <w:t xml:space="preserve">, the IFC’s CEO, Philippe Le </w:t>
      </w:r>
      <w:proofErr w:type="spellStart"/>
      <w:r w:rsidRPr="006644B0">
        <w:rPr>
          <w:rFonts w:asciiTheme="majorHAnsi" w:hAnsiTheme="majorHAnsi" w:cstheme="majorHAnsi"/>
          <w:color w:val="000000"/>
          <w:sz w:val="22"/>
          <w:szCs w:val="22"/>
        </w:rPr>
        <w:t>Houérou</w:t>
      </w:r>
      <w:proofErr w:type="spellEnd"/>
      <w:r w:rsidRPr="006644B0">
        <w:rPr>
          <w:rFonts w:asciiTheme="majorHAnsi" w:hAnsiTheme="majorHAnsi" w:cstheme="majorHAnsi"/>
          <w:color w:val="000000"/>
          <w:sz w:val="22"/>
          <w:szCs w:val="22"/>
        </w:rPr>
        <w:t xml:space="preserve">, has committed to reduce high-risk lending through FIs, including reducing investments linked to coal. The IFC is currently consulting with clients, shareholders and civil society on a new ‘Green Equity Approach’ to help to transform not only its own lending but that of its </w:t>
      </w:r>
      <w:r w:rsidR="004B5824">
        <w:rPr>
          <w:rFonts w:asciiTheme="majorHAnsi" w:hAnsiTheme="majorHAnsi" w:cstheme="majorHAnsi"/>
          <w:color w:val="000000"/>
          <w:sz w:val="22"/>
          <w:szCs w:val="22"/>
        </w:rPr>
        <w:t xml:space="preserve">FI </w:t>
      </w:r>
      <w:r w:rsidRPr="006644B0">
        <w:rPr>
          <w:rFonts w:asciiTheme="majorHAnsi" w:hAnsiTheme="majorHAnsi" w:cstheme="majorHAnsi"/>
          <w:color w:val="000000"/>
          <w:sz w:val="22"/>
          <w:szCs w:val="22"/>
        </w:rPr>
        <w:t>clients, shifting away from fossil fuels and towards greener investment.</w:t>
      </w:r>
    </w:p>
    <w:p w14:paraId="00000025" w14:textId="77777777" w:rsidR="001D64D0" w:rsidRPr="006644B0" w:rsidRDefault="001D64D0" w:rsidP="006644B0">
      <w:pPr>
        <w:spacing w:line="276" w:lineRule="auto"/>
        <w:jc w:val="both"/>
        <w:rPr>
          <w:rFonts w:asciiTheme="majorHAnsi" w:hAnsiTheme="majorHAnsi" w:cstheme="majorHAnsi"/>
          <w:color w:val="000000"/>
          <w:sz w:val="22"/>
          <w:szCs w:val="22"/>
        </w:rPr>
      </w:pPr>
    </w:p>
    <w:p w14:paraId="00000026" w14:textId="0FA0C8E1" w:rsidR="001D64D0" w:rsidRPr="006644B0" w:rsidRDefault="009245D5" w:rsidP="006644B0">
      <w:pPr>
        <w:spacing w:line="276" w:lineRule="auto"/>
        <w:jc w:val="both"/>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These are important developments and we urge the AIIB to learn from the IFC’s problematic experience with its </w:t>
      </w:r>
      <w:r w:rsidRPr="006644B0">
        <w:rPr>
          <w:rFonts w:asciiTheme="majorHAnsi" w:hAnsiTheme="majorHAnsi" w:cstheme="majorHAnsi"/>
          <w:sz w:val="22"/>
          <w:szCs w:val="22"/>
        </w:rPr>
        <w:t>FI</w:t>
      </w:r>
      <w:r w:rsidRPr="006644B0">
        <w:rPr>
          <w:rFonts w:asciiTheme="majorHAnsi" w:hAnsiTheme="majorHAnsi" w:cstheme="majorHAnsi"/>
          <w:color w:val="000000"/>
          <w:sz w:val="22"/>
          <w:szCs w:val="22"/>
        </w:rPr>
        <w:t xml:space="preserve"> portfolio and its efforts towards reform. At the same time, other institutions, such as the Green Climate Fund – which lends 100</w:t>
      </w:r>
      <w:r w:rsidR="004B5824">
        <w:rPr>
          <w:rFonts w:asciiTheme="majorHAnsi" w:hAnsiTheme="majorHAnsi" w:cstheme="majorHAnsi"/>
          <w:color w:val="000000"/>
          <w:sz w:val="22"/>
          <w:szCs w:val="22"/>
        </w:rPr>
        <w:t xml:space="preserve"> per cent</w:t>
      </w:r>
      <w:r w:rsidRPr="006644B0">
        <w:rPr>
          <w:rFonts w:asciiTheme="majorHAnsi" w:hAnsiTheme="majorHAnsi" w:cstheme="majorHAnsi"/>
          <w:color w:val="000000"/>
          <w:sz w:val="22"/>
          <w:szCs w:val="22"/>
        </w:rPr>
        <w:t xml:space="preserve"> through FIs – have developed robust policies, for example around information disclosure, that the AIIB could emulate.</w:t>
      </w:r>
    </w:p>
    <w:p w14:paraId="00000027" w14:textId="77777777" w:rsidR="001D64D0" w:rsidRPr="006644B0" w:rsidRDefault="001D64D0" w:rsidP="006644B0">
      <w:pPr>
        <w:spacing w:line="276" w:lineRule="auto"/>
        <w:jc w:val="both"/>
        <w:rPr>
          <w:rFonts w:asciiTheme="majorHAnsi" w:hAnsiTheme="majorHAnsi" w:cstheme="majorHAnsi"/>
          <w:color w:val="000000"/>
          <w:sz w:val="22"/>
          <w:szCs w:val="22"/>
        </w:rPr>
      </w:pPr>
    </w:p>
    <w:p w14:paraId="00000028" w14:textId="720925FA" w:rsidR="001D64D0" w:rsidRPr="006644B0" w:rsidRDefault="009245D5" w:rsidP="006644B0">
      <w:pPr>
        <w:spacing w:line="276" w:lineRule="auto"/>
        <w:jc w:val="both"/>
        <w:rPr>
          <w:rFonts w:asciiTheme="majorHAnsi" w:hAnsiTheme="majorHAnsi" w:cstheme="majorHAnsi"/>
          <w:color w:val="000000"/>
          <w:sz w:val="22"/>
          <w:szCs w:val="22"/>
        </w:rPr>
      </w:pPr>
      <w:r w:rsidRPr="006644B0">
        <w:rPr>
          <w:rFonts w:asciiTheme="majorHAnsi" w:hAnsiTheme="majorHAnsi" w:cstheme="majorHAnsi"/>
          <w:color w:val="000000"/>
          <w:sz w:val="22"/>
          <w:szCs w:val="22"/>
        </w:rPr>
        <w:t>Apart from these development</w:t>
      </w:r>
      <w:r w:rsidR="006644B0" w:rsidRPr="006644B0">
        <w:rPr>
          <w:rFonts w:asciiTheme="majorHAnsi" w:hAnsiTheme="majorHAnsi" w:cstheme="majorHAnsi"/>
          <w:color w:val="000000"/>
          <w:sz w:val="22"/>
          <w:szCs w:val="22"/>
        </w:rPr>
        <w:t>s</w:t>
      </w:r>
      <w:r w:rsidRPr="006644B0">
        <w:rPr>
          <w:rFonts w:asciiTheme="majorHAnsi" w:hAnsiTheme="majorHAnsi" w:cstheme="majorHAnsi"/>
          <w:color w:val="000000"/>
          <w:sz w:val="22"/>
          <w:szCs w:val="22"/>
        </w:rPr>
        <w:t xml:space="preserve"> among the AIIB’s peers, we also wish to draw to your attention experiences to date with the AIIB’s own FI investments. Civil society groups have been working with local communities to monitor certain AIIB FI investments, including the IFC Emerging Asia Fund</w:t>
      </w:r>
      <w:r w:rsidRPr="006644B0">
        <w:rPr>
          <w:rFonts w:asciiTheme="majorHAnsi" w:hAnsiTheme="majorHAnsi" w:cstheme="majorHAnsi"/>
          <w:color w:val="000000"/>
          <w:sz w:val="22"/>
          <w:szCs w:val="22"/>
          <w:vertAlign w:val="superscript"/>
        </w:rPr>
        <w:footnoteReference w:id="2"/>
      </w:r>
      <w:r w:rsidRPr="006644B0">
        <w:rPr>
          <w:rFonts w:asciiTheme="majorHAnsi" w:hAnsiTheme="majorHAnsi" w:cstheme="majorHAnsi"/>
          <w:color w:val="000000"/>
          <w:sz w:val="22"/>
          <w:szCs w:val="22"/>
        </w:rPr>
        <w:t>, the India Infrastructure Fund (now renamed North Haven)</w:t>
      </w:r>
      <w:r w:rsidRPr="006644B0">
        <w:rPr>
          <w:rFonts w:asciiTheme="majorHAnsi" w:hAnsiTheme="majorHAnsi" w:cstheme="majorHAnsi"/>
          <w:color w:val="000000"/>
          <w:sz w:val="22"/>
          <w:szCs w:val="22"/>
          <w:vertAlign w:val="superscript"/>
        </w:rPr>
        <w:footnoteReference w:id="3"/>
      </w:r>
      <w:r w:rsidRPr="006644B0">
        <w:rPr>
          <w:rFonts w:asciiTheme="majorHAnsi" w:hAnsiTheme="majorHAnsi" w:cstheme="majorHAnsi"/>
          <w:color w:val="000000"/>
          <w:sz w:val="22"/>
          <w:szCs w:val="22"/>
        </w:rPr>
        <w:t xml:space="preserve"> and the National Investment and Infrastructure Fund</w:t>
      </w:r>
      <w:r w:rsidRPr="006644B0">
        <w:rPr>
          <w:rFonts w:asciiTheme="majorHAnsi" w:hAnsiTheme="majorHAnsi" w:cstheme="majorHAnsi"/>
          <w:color w:val="000000"/>
          <w:sz w:val="22"/>
          <w:szCs w:val="22"/>
          <w:vertAlign w:val="superscript"/>
        </w:rPr>
        <w:footnoteReference w:id="4"/>
      </w:r>
      <w:r w:rsidRPr="006644B0">
        <w:rPr>
          <w:rFonts w:asciiTheme="majorHAnsi" w:hAnsiTheme="majorHAnsi" w:cstheme="majorHAnsi"/>
          <w:color w:val="000000"/>
          <w:sz w:val="22"/>
          <w:szCs w:val="22"/>
        </w:rPr>
        <w:t>. A number of common concerns arise from analysis of these projects:</w:t>
      </w:r>
    </w:p>
    <w:p w14:paraId="00000029" w14:textId="77777777" w:rsidR="001D64D0" w:rsidRPr="006644B0" w:rsidRDefault="001D64D0" w:rsidP="006644B0">
      <w:pPr>
        <w:spacing w:line="276" w:lineRule="auto"/>
        <w:jc w:val="both"/>
        <w:rPr>
          <w:rFonts w:asciiTheme="majorHAnsi" w:hAnsiTheme="majorHAnsi" w:cstheme="majorHAnsi"/>
          <w:color w:val="000000"/>
          <w:sz w:val="22"/>
          <w:szCs w:val="22"/>
        </w:rPr>
      </w:pPr>
    </w:p>
    <w:p w14:paraId="0B4F7F42" w14:textId="6CD9A186" w:rsidR="008178CC" w:rsidRDefault="009245D5" w:rsidP="008178CC">
      <w:pPr>
        <w:numPr>
          <w:ilvl w:val="0"/>
          <w:numId w:val="7"/>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6644B0">
        <w:rPr>
          <w:rFonts w:asciiTheme="majorHAnsi" w:hAnsiTheme="majorHAnsi" w:cstheme="majorHAnsi"/>
          <w:b/>
          <w:color w:val="000000"/>
          <w:sz w:val="22"/>
          <w:szCs w:val="22"/>
        </w:rPr>
        <w:t>Lack of information disclosure:</w:t>
      </w:r>
      <w:r w:rsidRPr="006644B0">
        <w:rPr>
          <w:rFonts w:asciiTheme="majorHAnsi" w:hAnsiTheme="majorHAnsi" w:cstheme="majorHAnsi"/>
          <w:color w:val="000000"/>
          <w:sz w:val="22"/>
          <w:szCs w:val="22"/>
        </w:rPr>
        <w:t xml:space="preserve"> The AIIB does not include information about sub-projects funded through any </w:t>
      </w:r>
      <w:r w:rsidR="004B5824">
        <w:rPr>
          <w:rFonts w:asciiTheme="majorHAnsi" w:hAnsiTheme="majorHAnsi" w:cstheme="majorHAnsi"/>
          <w:color w:val="000000"/>
          <w:sz w:val="22"/>
          <w:szCs w:val="22"/>
        </w:rPr>
        <w:t xml:space="preserve">client </w:t>
      </w:r>
      <w:r w:rsidRPr="006644B0">
        <w:rPr>
          <w:rFonts w:asciiTheme="majorHAnsi" w:hAnsiTheme="majorHAnsi" w:cstheme="majorHAnsi"/>
          <w:color w:val="000000"/>
          <w:sz w:val="22"/>
          <w:szCs w:val="22"/>
        </w:rPr>
        <w:t xml:space="preserve">FIs on its website. </w:t>
      </w:r>
      <w:r w:rsidRPr="006644B0">
        <w:rPr>
          <w:rFonts w:asciiTheme="majorHAnsi" w:hAnsiTheme="majorHAnsi" w:cstheme="majorHAnsi"/>
          <w:sz w:val="22"/>
          <w:szCs w:val="22"/>
        </w:rPr>
        <w:t xml:space="preserve">No information at all is publicly available on the sub-projects supported by the two Indian FIs, </w:t>
      </w:r>
      <w:r w:rsidR="004B5824">
        <w:rPr>
          <w:rFonts w:asciiTheme="majorHAnsi" w:hAnsiTheme="majorHAnsi" w:cstheme="majorHAnsi"/>
          <w:sz w:val="22"/>
          <w:szCs w:val="22"/>
        </w:rPr>
        <w:t>for example. This leaves</w:t>
      </w:r>
      <w:r w:rsidRPr="006644B0">
        <w:rPr>
          <w:rFonts w:asciiTheme="majorHAnsi" w:hAnsiTheme="majorHAnsi" w:cstheme="majorHAnsi"/>
          <w:sz w:val="22"/>
          <w:szCs w:val="22"/>
        </w:rPr>
        <w:t xml:space="preserve"> potentially affected communities in the dark about their rights to know </w:t>
      </w:r>
      <w:r w:rsidR="0015077F">
        <w:rPr>
          <w:rFonts w:asciiTheme="majorHAnsi" w:hAnsiTheme="majorHAnsi" w:cstheme="majorHAnsi"/>
          <w:sz w:val="22"/>
          <w:szCs w:val="22"/>
        </w:rPr>
        <w:t xml:space="preserve">both </w:t>
      </w:r>
      <w:r w:rsidRPr="006644B0">
        <w:rPr>
          <w:rFonts w:asciiTheme="majorHAnsi" w:hAnsiTheme="majorHAnsi" w:cstheme="majorHAnsi"/>
          <w:sz w:val="22"/>
          <w:szCs w:val="22"/>
        </w:rPr>
        <w:t>who is behind the project affecting them, and that the AIIB’s E&amp;S standards should be applied.</w:t>
      </w:r>
      <w:r w:rsidRPr="006644B0">
        <w:rPr>
          <w:rFonts w:asciiTheme="majorHAnsi" w:hAnsiTheme="majorHAnsi" w:cstheme="majorHAnsi"/>
          <w:color w:val="000000"/>
          <w:sz w:val="22"/>
          <w:szCs w:val="22"/>
        </w:rPr>
        <w:t xml:space="preserve"> Though </w:t>
      </w:r>
      <w:r w:rsidR="0015077F">
        <w:rPr>
          <w:rFonts w:asciiTheme="majorHAnsi" w:hAnsiTheme="majorHAnsi" w:cstheme="majorHAnsi"/>
          <w:color w:val="000000"/>
          <w:sz w:val="22"/>
          <w:szCs w:val="22"/>
        </w:rPr>
        <w:t xml:space="preserve">the </w:t>
      </w:r>
      <w:r w:rsidRPr="006644B0">
        <w:rPr>
          <w:rFonts w:asciiTheme="majorHAnsi" w:hAnsiTheme="majorHAnsi" w:cstheme="majorHAnsi"/>
          <w:color w:val="000000"/>
          <w:sz w:val="22"/>
          <w:szCs w:val="22"/>
        </w:rPr>
        <w:t>AIIB has committed to release information ‘within 12 months’ of such projects’ approval, this is too late to help th</w:t>
      </w:r>
      <w:r w:rsidRPr="006644B0">
        <w:rPr>
          <w:rFonts w:asciiTheme="majorHAnsi" w:hAnsiTheme="majorHAnsi" w:cstheme="majorHAnsi"/>
          <w:sz w:val="22"/>
          <w:szCs w:val="22"/>
        </w:rPr>
        <w:t>ird parties and potentially affected people to</w:t>
      </w:r>
      <w:r w:rsidRPr="006644B0">
        <w:rPr>
          <w:rFonts w:asciiTheme="majorHAnsi" w:hAnsiTheme="majorHAnsi" w:cstheme="majorHAnsi"/>
          <w:color w:val="000000"/>
          <w:sz w:val="22"/>
          <w:szCs w:val="22"/>
        </w:rPr>
        <w:t xml:space="preserve"> </w:t>
      </w:r>
      <w:r w:rsidRPr="006644B0">
        <w:rPr>
          <w:rFonts w:asciiTheme="majorHAnsi" w:hAnsiTheme="majorHAnsi" w:cstheme="majorHAnsi"/>
          <w:sz w:val="22"/>
          <w:szCs w:val="22"/>
        </w:rPr>
        <w:t xml:space="preserve">identify </w:t>
      </w:r>
      <w:r w:rsidRPr="006644B0">
        <w:rPr>
          <w:rFonts w:asciiTheme="majorHAnsi" w:hAnsiTheme="majorHAnsi" w:cstheme="majorHAnsi"/>
          <w:color w:val="000000"/>
          <w:sz w:val="22"/>
          <w:szCs w:val="22"/>
        </w:rPr>
        <w:t xml:space="preserve">and </w:t>
      </w:r>
      <w:r w:rsidRPr="006644B0">
        <w:rPr>
          <w:rFonts w:asciiTheme="majorHAnsi" w:hAnsiTheme="majorHAnsi" w:cstheme="majorHAnsi"/>
          <w:sz w:val="22"/>
          <w:szCs w:val="22"/>
        </w:rPr>
        <w:t xml:space="preserve">raise concerns </w:t>
      </w:r>
      <w:r w:rsidRPr="006644B0">
        <w:rPr>
          <w:rFonts w:asciiTheme="majorHAnsi" w:hAnsiTheme="majorHAnsi" w:cstheme="majorHAnsi"/>
          <w:color w:val="000000"/>
          <w:sz w:val="22"/>
          <w:szCs w:val="22"/>
        </w:rPr>
        <w:t>up front, and lags behind best practice at other institutions.</w:t>
      </w:r>
    </w:p>
    <w:p w14:paraId="0000002C" w14:textId="45E84F21" w:rsidR="001D64D0" w:rsidRPr="008178CC" w:rsidRDefault="009245D5" w:rsidP="008178CC">
      <w:pPr>
        <w:numPr>
          <w:ilvl w:val="0"/>
          <w:numId w:val="7"/>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8178CC">
        <w:rPr>
          <w:rFonts w:asciiTheme="majorHAnsi" w:hAnsiTheme="majorHAnsi" w:cstheme="majorHAnsi"/>
          <w:b/>
          <w:color w:val="000000"/>
          <w:sz w:val="22"/>
          <w:szCs w:val="22"/>
        </w:rPr>
        <w:t xml:space="preserve">Exposure to fossil fuels: </w:t>
      </w:r>
      <w:r w:rsidRPr="008178CC">
        <w:rPr>
          <w:rFonts w:asciiTheme="majorHAnsi" w:hAnsiTheme="majorHAnsi" w:cstheme="majorHAnsi"/>
          <w:color w:val="000000"/>
          <w:sz w:val="22"/>
          <w:szCs w:val="22"/>
        </w:rPr>
        <w:t xml:space="preserve">though the AIIB aims to be a ‘green’ bank, there is a significant risk of FI investments </w:t>
      </w:r>
      <w:r w:rsidRPr="008178CC">
        <w:rPr>
          <w:rFonts w:asciiTheme="majorHAnsi" w:hAnsiTheme="majorHAnsi" w:cstheme="majorHAnsi"/>
          <w:sz w:val="22"/>
          <w:szCs w:val="22"/>
        </w:rPr>
        <w:t>ending</w:t>
      </w:r>
      <w:r w:rsidRPr="008178CC">
        <w:rPr>
          <w:rFonts w:asciiTheme="majorHAnsi" w:hAnsiTheme="majorHAnsi" w:cstheme="majorHAnsi"/>
          <w:color w:val="000000"/>
          <w:sz w:val="22"/>
          <w:szCs w:val="22"/>
        </w:rPr>
        <w:t xml:space="preserve"> up backing fossil fuels, as evidenced in the case of the IFC Emerging Asia Fund. </w:t>
      </w:r>
      <w:r w:rsidR="0015077F">
        <w:rPr>
          <w:rFonts w:asciiTheme="majorHAnsi" w:hAnsiTheme="majorHAnsi" w:cstheme="majorHAnsi"/>
          <w:color w:val="000000"/>
          <w:sz w:val="22"/>
          <w:szCs w:val="22"/>
        </w:rPr>
        <w:t>For example, o</w:t>
      </w:r>
      <w:r w:rsidRPr="008178CC">
        <w:rPr>
          <w:rFonts w:asciiTheme="majorHAnsi" w:hAnsiTheme="majorHAnsi" w:cstheme="majorHAnsi"/>
          <w:color w:val="000000"/>
          <w:sz w:val="22"/>
          <w:szCs w:val="22"/>
        </w:rPr>
        <w:t>ne client, Summit Power in Bangladesh, has a portfolio that is 100</w:t>
      </w:r>
      <w:r w:rsidR="0015077F">
        <w:rPr>
          <w:rFonts w:asciiTheme="majorHAnsi" w:hAnsiTheme="majorHAnsi" w:cstheme="majorHAnsi"/>
          <w:color w:val="000000"/>
          <w:sz w:val="22"/>
          <w:szCs w:val="22"/>
        </w:rPr>
        <w:t xml:space="preserve"> per cent</w:t>
      </w:r>
      <w:r w:rsidRPr="008178CC">
        <w:rPr>
          <w:rFonts w:asciiTheme="majorHAnsi" w:hAnsiTheme="majorHAnsi" w:cstheme="majorHAnsi"/>
          <w:color w:val="000000"/>
          <w:sz w:val="22"/>
          <w:szCs w:val="22"/>
        </w:rPr>
        <w:t xml:space="preserve"> fossil-fuel based.</w:t>
      </w:r>
    </w:p>
    <w:p w14:paraId="0000002D" w14:textId="607B2AE9" w:rsidR="001D64D0" w:rsidRPr="006644B0" w:rsidRDefault="009245D5" w:rsidP="006644B0">
      <w:pPr>
        <w:numPr>
          <w:ilvl w:val="0"/>
          <w:numId w:val="7"/>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6644B0">
        <w:rPr>
          <w:rFonts w:asciiTheme="majorHAnsi" w:hAnsiTheme="majorHAnsi" w:cstheme="majorHAnsi"/>
          <w:b/>
          <w:color w:val="000000"/>
          <w:sz w:val="22"/>
          <w:szCs w:val="22"/>
        </w:rPr>
        <w:t>Delegation of control to FI clients/co-financiers:</w:t>
      </w:r>
      <w:r w:rsidRPr="006644B0">
        <w:rPr>
          <w:rFonts w:asciiTheme="majorHAnsi" w:hAnsiTheme="majorHAnsi" w:cstheme="majorHAnsi"/>
          <w:color w:val="000000"/>
          <w:sz w:val="22"/>
          <w:szCs w:val="22"/>
        </w:rPr>
        <w:t xml:space="preserve"> the AIIB delegates decision-making around risk classification and </w:t>
      </w:r>
      <w:r w:rsidR="00B77985">
        <w:rPr>
          <w:rFonts w:asciiTheme="majorHAnsi" w:hAnsiTheme="majorHAnsi" w:cstheme="majorHAnsi"/>
          <w:color w:val="000000"/>
          <w:sz w:val="22"/>
          <w:szCs w:val="22"/>
        </w:rPr>
        <w:t>E&amp;S</w:t>
      </w:r>
      <w:r w:rsidRPr="006644B0">
        <w:rPr>
          <w:rFonts w:asciiTheme="majorHAnsi" w:hAnsiTheme="majorHAnsi" w:cstheme="majorHAnsi"/>
          <w:color w:val="000000"/>
          <w:sz w:val="22"/>
          <w:szCs w:val="22"/>
        </w:rPr>
        <w:t xml:space="preserve"> management entirely to the FIs in which it invests. Such lack of oversight can exacerbate problems and can lead to risks being ignored or overlooked</w:t>
      </w:r>
      <w:r w:rsidR="009708A9">
        <w:rPr>
          <w:rFonts w:asciiTheme="majorHAnsi" w:hAnsiTheme="majorHAnsi" w:cstheme="majorHAnsi"/>
          <w:color w:val="000000"/>
          <w:sz w:val="22"/>
          <w:szCs w:val="22"/>
        </w:rPr>
        <w:t>,</w:t>
      </w:r>
      <w:r w:rsidRPr="006644B0">
        <w:rPr>
          <w:rFonts w:asciiTheme="majorHAnsi" w:hAnsiTheme="majorHAnsi" w:cstheme="majorHAnsi"/>
          <w:color w:val="000000"/>
          <w:sz w:val="22"/>
          <w:szCs w:val="22"/>
        </w:rPr>
        <w:t xml:space="preserve"> as has happened at </w:t>
      </w:r>
      <w:r w:rsidRPr="006644B0">
        <w:rPr>
          <w:rFonts w:asciiTheme="majorHAnsi" w:hAnsiTheme="majorHAnsi" w:cstheme="majorHAnsi"/>
          <w:color w:val="000000"/>
          <w:sz w:val="22"/>
          <w:szCs w:val="22"/>
        </w:rPr>
        <w:lastRenderedPageBreak/>
        <w:t xml:space="preserve">the IFC. </w:t>
      </w:r>
      <w:r w:rsidRPr="006644B0">
        <w:rPr>
          <w:rFonts w:asciiTheme="majorHAnsi" w:hAnsiTheme="majorHAnsi" w:cstheme="majorHAnsi"/>
          <w:sz w:val="22"/>
          <w:szCs w:val="22"/>
        </w:rPr>
        <w:t>Research</w:t>
      </w:r>
      <w:r w:rsidR="009708A9">
        <w:rPr>
          <w:rStyle w:val="FootnoteReference"/>
          <w:rFonts w:asciiTheme="majorHAnsi" w:hAnsiTheme="majorHAnsi" w:cstheme="majorHAnsi"/>
          <w:sz w:val="22"/>
          <w:szCs w:val="22"/>
        </w:rPr>
        <w:footnoteReference w:id="5"/>
      </w:r>
      <w:r w:rsidRPr="006644B0">
        <w:rPr>
          <w:rFonts w:asciiTheme="majorHAnsi" w:hAnsiTheme="majorHAnsi" w:cstheme="majorHAnsi"/>
          <w:sz w:val="22"/>
          <w:szCs w:val="22"/>
        </w:rPr>
        <w:t xml:space="preserve"> demonstrates that many FIs do not put adequate environmental and social management systems in place and fail to apply standards at the project level.</w:t>
      </w:r>
      <w:r w:rsidR="00893FD2">
        <w:rPr>
          <w:rFonts w:asciiTheme="majorHAnsi" w:hAnsiTheme="majorHAnsi" w:cstheme="majorHAnsi"/>
          <w:sz w:val="22"/>
          <w:szCs w:val="22"/>
        </w:rPr>
        <w:t xml:space="preserve"> This can result in projects causing harms – such as land conflicts – even when investments appear ‘green’, such as large-scale renewables. </w:t>
      </w:r>
    </w:p>
    <w:p w14:paraId="0000002E" w14:textId="77777777" w:rsidR="001D64D0" w:rsidRPr="006644B0" w:rsidRDefault="001D64D0" w:rsidP="006644B0">
      <w:pPr>
        <w:spacing w:line="276" w:lineRule="auto"/>
        <w:jc w:val="both"/>
        <w:rPr>
          <w:rFonts w:asciiTheme="majorHAnsi" w:hAnsiTheme="majorHAnsi" w:cstheme="majorHAnsi"/>
          <w:color w:val="000000"/>
          <w:sz w:val="22"/>
          <w:szCs w:val="22"/>
        </w:rPr>
      </w:pPr>
    </w:p>
    <w:p w14:paraId="0000002F" w14:textId="6BB52E29" w:rsidR="001D64D0" w:rsidRPr="006644B0" w:rsidRDefault="009245D5" w:rsidP="006644B0">
      <w:pPr>
        <w:spacing w:line="276" w:lineRule="auto"/>
        <w:jc w:val="both"/>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Such issues with implementation arise in part because of policy gaps. </w:t>
      </w:r>
      <w:r w:rsidRPr="006644B0">
        <w:rPr>
          <w:rFonts w:asciiTheme="majorHAnsi" w:hAnsiTheme="majorHAnsi" w:cstheme="majorHAnsi"/>
          <w:sz w:val="22"/>
          <w:szCs w:val="22"/>
        </w:rPr>
        <w:t>To date, the AIIB has not disclosed any documents that reveal how it assesses, prepares and finali</w:t>
      </w:r>
      <w:r w:rsidR="00D04C7C">
        <w:rPr>
          <w:rFonts w:asciiTheme="majorHAnsi" w:hAnsiTheme="majorHAnsi" w:cstheme="majorHAnsi"/>
          <w:sz w:val="22"/>
          <w:szCs w:val="22"/>
        </w:rPr>
        <w:t>s</w:t>
      </w:r>
      <w:r w:rsidRPr="006644B0">
        <w:rPr>
          <w:rFonts w:asciiTheme="majorHAnsi" w:hAnsiTheme="majorHAnsi" w:cstheme="majorHAnsi"/>
          <w:sz w:val="22"/>
          <w:szCs w:val="22"/>
        </w:rPr>
        <w:t xml:space="preserve">es potential FI investments. It is important that the AIIB adopt a systematic and transparent approach to its FI lending. </w:t>
      </w:r>
      <w:r w:rsidRPr="006644B0">
        <w:rPr>
          <w:rFonts w:asciiTheme="majorHAnsi" w:hAnsiTheme="majorHAnsi" w:cstheme="majorHAnsi"/>
          <w:color w:val="000000"/>
          <w:sz w:val="22"/>
          <w:szCs w:val="22"/>
        </w:rPr>
        <w:t>As mentioned, the forthcoming review of the AIIB’s ESF provides an ideal opportunity both to address these gaps and to ensure that AIIB staff are equipped with the guidance they require to ensure FI investments do no harm.</w:t>
      </w:r>
    </w:p>
    <w:p w14:paraId="00000030" w14:textId="77777777" w:rsidR="001D64D0" w:rsidRPr="006644B0" w:rsidRDefault="001D64D0" w:rsidP="006644B0">
      <w:pPr>
        <w:spacing w:line="276" w:lineRule="auto"/>
        <w:jc w:val="both"/>
        <w:rPr>
          <w:rFonts w:asciiTheme="majorHAnsi" w:hAnsiTheme="majorHAnsi" w:cstheme="majorHAnsi"/>
          <w:sz w:val="22"/>
          <w:szCs w:val="22"/>
        </w:rPr>
      </w:pPr>
    </w:p>
    <w:p w14:paraId="00000036" w14:textId="5E8D9C48" w:rsidR="001D64D0" w:rsidRPr="006644B0" w:rsidRDefault="001E56BC" w:rsidP="008178CC">
      <w:pPr>
        <w:spacing w:line="276" w:lineRule="auto"/>
        <w:jc w:val="both"/>
        <w:rPr>
          <w:rFonts w:asciiTheme="majorHAnsi" w:hAnsiTheme="majorHAnsi" w:cstheme="majorHAnsi"/>
          <w:sz w:val="22"/>
          <w:szCs w:val="22"/>
        </w:rPr>
      </w:pPr>
      <w:r w:rsidRPr="006644B0">
        <w:rPr>
          <w:rFonts w:asciiTheme="majorHAnsi" w:hAnsiTheme="majorHAnsi" w:cstheme="majorHAnsi"/>
          <w:sz w:val="22"/>
          <w:szCs w:val="22"/>
        </w:rPr>
        <w:t>We urge the AIIB to address these concerns by</w:t>
      </w:r>
      <w:r w:rsidR="00D04C7C">
        <w:rPr>
          <w:rFonts w:asciiTheme="majorHAnsi" w:hAnsiTheme="majorHAnsi" w:cstheme="majorHAnsi"/>
          <w:sz w:val="22"/>
          <w:szCs w:val="22"/>
        </w:rPr>
        <w:t>:</w:t>
      </w:r>
      <w:r>
        <w:rPr>
          <w:rFonts w:asciiTheme="majorHAnsi" w:hAnsiTheme="majorHAnsi" w:cstheme="majorHAnsi"/>
          <w:sz w:val="22"/>
          <w:szCs w:val="22"/>
        </w:rPr>
        <w:t xml:space="preserve"> </w:t>
      </w:r>
      <w:r w:rsidRPr="006644B0">
        <w:rPr>
          <w:rFonts w:asciiTheme="majorHAnsi" w:hAnsiTheme="majorHAnsi" w:cstheme="majorHAnsi"/>
          <w:sz w:val="22"/>
          <w:szCs w:val="22"/>
        </w:rPr>
        <w:t>enhancing information disclosure in FI lending;</w:t>
      </w:r>
      <w:r>
        <w:rPr>
          <w:rFonts w:asciiTheme="majorHAnsi" w:hAnsiTheme="majorHAnsi" w:cstheme="majorHAnsi"/>
          <w:sz w:val="22"/>
          <w:szCs w:val="22"/>
        </w:rPr>
        <w:t xml:space="preserve"> </w:t>
      </w:r>
      <w:r w:rsidRPr="006644B0">
        <w:rPr>
          <w:rFonts w:asciiTheme="majorHAnsi" w:hAnsiTheme="majorHAnsi" w:cstheme="majorHAnsi"/>
          <w:sz w:val="22"/>
          <w:szCs w:val="22"/>
        </w:rPr>
        <w:t xml:space="preserve">expanding the </w:t>
      </w:r>
      <w:r w:rsidR="00D04C7C">
        <w:rPr>
          <w:rFonts w:asciiTheme="majorHAnsi" w:hAnsiTheme="majorHAnsi" w:cstheme="majorHAnsi"/>
          <w:sz w:val="22"/>
          <w:szCs w:val="22"/>
        </w:rPr>
        <w:t>ESF</w:t>
      </w:r>
      <w:r w:rsidRPr="006644B0">
        <w:rPr>
          <w:rFonts w:asciiTheme="majorHAnsi" w:hAnsiTheme="majorHAnsi" w:cstheme="majorHAnsi"/>
          <w:sz w:val="22"/>
          <w:szCs w:val="22"/>
        </w:rPr>
        <w:t xml:space="preserve"> to include detailed requirements for FI lending;</w:t>
      </w:r>
      <w:r>
        <w:rPr>
          <w:rFonts w:asciiTheme="majorHAnsi" w:hAnsiTheme="majorHAnsi" w:cstheme="majorHAnsi"/>
          <w:sz w:val="22"/>
          <w:szCs w:val="22"/>
        </w:rPr>
        <w:t xml:space="preserve"> </w:t>
      </w:r>
      <w:r w:rsidRPr="006644B0">
        <w:rPr>
          <w:rFonts w:asciiTheme="majorHAnsi" w:hAnsiTheme="majorHAnsi" w:cstheme="majorHAnsi"/>
          <w:sz w:val="22"/>
          <w:szCs w:val="22"/>
        </w:rPr>
        <w:t>ensuring that FI lending does not open the door further to fossil fuel investments</w:t>
      </w:r>
      <w:r>
        <w:rPr>
          <w:rFonts w:asciiTheme="majorHAnsi" w:hAnsiTheme="majorHAnsi" w:cstheme="majorHAnsi"/>
          <w:sz w:val="22"/>
          <w:szCs w:val="22"/>
        </w:rPr>
        <w:t xml:space="preserve">; and </w:t>
      </w:r>
      <w:r w:rsidRPr="006644B0">
        <w:rPr>
          <w:rFonts w:asciiTheme="majorHAnsi" w:hAnsiTheme="majorHAnsi" w:cstheme="majorHAnsi"/>
          <w:sz w:val="22"/>
          <w:szCs w:val="22"/>
        </w:rPr>
        <w:t xml:space="preserve">introducing ring-fencing of FI investments </w:t>
      </w:r>
      <w:r>
        <w:rPr>
          <w:rFonts w:asciiTheme="majorHAnsi" w:hAnsiTheme="majorHAnsi" w:cstheme="majorHAnsi"/>
          <w:sz w:val="22"/>
          <w:szCs w:val="22"/>
        </w:rPr>
        <w:t>to support</w:t>
      </w:r>
      <w:r w:rsidRPr="006644B0">
        <w:rPr>
          <w:rFonts w:asciiTheme="majorHAnsi" w:hAnsiTheme="majorHAnsi" w:cstheme="majorHAnsi"/>
          <w:sz w:val="22"/>
          <w:szCs w:val="22"/>
        </w:rPr>
        <w:t xml:space="preserve"> specific projects that are low-E&amp;S risk and have genuine development impact</w:t>
      </w:r>
      <w:r>
        <w:rPr>
          <w:rFonts w:asciiTheme="majorHAnsi" w:hAnsiTheme="majorHAnsi" w:cstheme="majorHAnsi"/>
          <w:sz w:val="22"/>
          <w:szCs w:val="22"/>
        </w:rPr>
        <w:t>,</w:t>
      </w:r>
      <w:r w:rsidRPr="006644B0">
        <w:rPr>
          <w:rFonts w:asciiTheme="majorHAnsi" w:hAnsiTheme="majorHAnsi" w:cstheme="majorHAnsi"/>
          <w:sz w:val="22"/>
          <w:szCs w:val="22"/>
        </w:rPr>
        <w:t xml:space="preserve"> ensuring th</w:t>
      </w:r>
      <w:r>
        <w:rPr>
          <w:rFonts w:asciiTheme="majorHAnsi" w:hAnsiTheme="majorHAnsi" w:cstheme="majorHAnsi"/>
          <w:sz w:val="22"/>
          <w:szCs w:val="22"/>
        </w:rPr>
        <w:t>is</w:t>
      </w:r>
      <w:r w:rsidRPr="006644B0">
        <w:rPr>
          <w:rFonts w:asciiTheme="majorHAnsi" w:hAnsiTheme="majorHAnsi" w:cstheme="majorHAnsi"/>
          <w:sz w:val="22"/>
          <w:szCs w:val="22"/>
        </w:rPr>
        <w:t xml:space="preserve"> ring fencing is legally enforceable and traceable.</w:t>
      </w:r>
      <w:r>
        <w:rPr>
          <w:rFonts w:asciiTheme="majorHAnsi" w:hAnsiTheme="majorHAnsi" w:cstheme="majorHAnsi"/>
          <w:sz w:val="22"/>
          <w:szCs w:val="22"/>
        </w:rPr>
        <w:t xml:space="preserve"> </w:t>
      </w:r>
      <w:r w:rsidR="009245D5" w:rsidRPr="006644B0">
        <w:rPr>
          <w:rFonts w:asciiTheme="majorHAnsi" w:hAnsiTheme="majorHAnsi" w:cstheme="majorHAnsi"/>
          <w:sz w:val="22"/>
          <w:szCs w:val="22"/>
        </w:rPr>
        <w:t xml:space="preserve">In the enclosed Annex, we identify examples of existing good practice at the AIIB’s peer institutions relating to these common concerns, as well as recommendations on how the AIIB could begin to address policy </w:t>
      </w:r>
      <w:r>
        <w:rPr>
          <w:rFonts w:asciiTheme="majorHAnsi" w:hAnsiTheme="majorHAnsi" w:cstheme="majorHAnsi"/>
          <w:sz w:val="22"/>
          <w:szCs w:val="22"/>
        </w:rPr>
        <w:t xml:space="preserve">and implementation </w:t>
      </w:r>
      <w:r w:rsidR="009245D5" w:rsidRPr="006644B0">
        <w:rPr>
          <w:rFonts w:asciiTheme="majorHAnsi" w:hAnsiTheme="majorHAnsi" w:cstheme="majorHAnsi"/>
          <w:sz w:val="22"/>
          <w:szCs w:val="22"/>
        </w:rPr>
        <w:t xml:space="preserve">gaps. </w:t>
      </w:r>
    </w:p>
    <w:p w14:paraId="00000037" w14:textId="77777777" w:rsidR="001D64D0" w:rsidRPr="006644B0" w:rsidRDefault="001D64D0" w:rsidP="006644B0">
      <w:pPr>
        <w:spacing w:line="276" w:lineRule="auto"/>
        <w:jc w:val="both"/>
        <w:rPr>
          <w:rFonts w:asciiTheme="majorHAnsi" w:hAnsiTheme="majorHAnsi" w:cstheme="majorHAnsi"/>
          <w:color w:val="000000"/>
          <w:sz w:val="22"/>
          <w:szCs w:val="22"/>
        </w:rPr>
      </w:pPr>
    </w:p>
    <w:p w14:paraId="00000038" w14:textId="77777777" w:rsidR="001D64D0" w:rsidRPr="006644B0" w:rsidRDefault="009245D5" w:rsidP="006644B0">
      <w:pPr>
        <w:spacing w:line="276" w:lineRule="auto"/>
        <w:jc w:val="both"/>
        <w:rPr>
          <w:rFonts w:asciiTheme="majorHAnsi" w:hAnsiTheme="majorHAnsi" w:cstheme="majorHAnsi"/>
          <w:sz w:val="22"/>
          <w:szCs w:val="22"/>
        </w:rPr>
      </w:pPr>
      <w:r w:rsidRPr="006644B0">
        <w:rPr>
          <w:rFonts w:asciiTheme="majorHAnsi" w:hAnsiTheme="majorHAnsi" w:cstheme="majorHAnsi"/>
          <w:sz w:val="22"/>
          <w:szCs w:val="22"/>
        </w:rPr>
        <w:t>We look forward to your response to these concerns and your commitment to ensuring that the AIIB takes on the lessons learned at IFC to reduce high risk FI lending.</w:t>
      </w:r>
    </w:p>
    <w:p w14:paraId="00000039" w14:textId="77777777" w:rsidR="001D64D0" w:rsidRPr="006644B0" w:rsidRDefault="001D64D0" w:rsidP="006644B0">
      <w:pPr>
        <w:spacing w:line="276" w:lineRule="auto"/>
        <w:jc w:val="both"/>
        <w:rPr>
          <w:rFonts w:asciiTheme="majorHAnsi" w:hAnsiTheme="majorHAnsi" w:cstheme="majorHAnsi"/>
          <w:sz w:val="22"/>
          <w:szCs w:val="22"/>
        </w:rPr>
      </w:pPr>
      <w:bookmarkStart w:id="1" w:name="_gjdgxs" w:colFirst="0" w:colLast="0"/>
      <w:bookmarkEnd w:id="1"/>
    </w:p>
    <w:p w14:paraId="0000003A" w14:textId="3C2FF00C" w:rsidR="001D64D0" w:rsidRDefault="009245D5" w:rsidP="006644B0">
      <w:pPr>
        <w:spacing w:line="276" w:lineRule="auto"/>
        <w:jc w:val="both"/>
        <w:rPr>
          <w:rFonts w:asciiTheme="majorHAnsi" w:hAnsiTheme="majorHAnsi" w:cstheme="majorHAnsi"/>
          <w:sz w:val="22"/>
          <w:szCs w:val="22"/>
        </w:rPr>
      </w:pPr>
      <w:r w:rsidRPr="006644B0">
        <w:rPr>
          <w:rFonts w:asciiTheme="majorHAnsi" w:hAnsiTheme="majorHAnsi" w:cstheme="majorHAnsi"/>
          <w:sz w:val="22"/>
          <w:szCs w:val="22"/>
        </w:rPr>
        <w:t>Yours sincerely,</w:t>
      </w:r>
    </w:p>
    <w:p w14:paraId="1618D899" w14:textId="64326B13" w:rsidR="00A12D96" w:rsidRDefault="00A12D96" w:rsidP="006644B0">
      <w:pPr>
        <w:spacing w:line="276" w:lineRule="auto"/>
        <w:jc w:val="both"/>
        <w:rPr>
          <w:rFonts w:asciiTheme="majorHAnsi" w:hAnsiTheme="majorHAnsi" w:cstheme="majorHAnsi"/>
          <w:sz w:val="22"/>
          <w:szCs w:val="22"/>
        </w:rPr>
      </w:pPr>
    </w:p>
    <w:p w14:paraId="7D4297A8" w14:textId="0CFC7CBB" w:rsidR="00615BDD" w:rsidRDefault="00615BDD" w:rsidP="006644B0">
      <w:pPr>
        <w:spacing w:line="276" w:lineRule="auto"/>
        <w:jc w:val="both"/>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4D49C99B" wp14:editId="2CF94275">
            <wp:extent cx="1241053" cy="48873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164" cy="495863"/>
                    </a:xfrm>
                    <a:prstGeom prst="rect">
                      <a:avLst/>
                    </a:prstGeom>
                  </pic:spPr>
                </pic:pic>
              </a:graphicData>
            </a:graphic>
          </wp:inline>
        </w:drawing>
      </w:r>
    </w:p>
    <w:p w14:paraId="1D529E6C" w14:textId="3CAA6885" w:rsidR="00A12D96" w:rsidRDefault="00A12D96" w:rsidP="006644B0">
      <w:pPr>
        <w:spacing w:line="276" w:lineRule="auto"/>
        <w:jc w:val="both"/>
        <w:rPr>
          <w:rFonts w:asciiTheme="majorHAnsi" w:hAnsiTheme="majorHAnsi" w:cstheme="majorHAnsi"/>
          <w:sz w:val="22"/>
          <w:szCs w:val="22"/>
        </w:rPr>
      </w:pPr>
      <w:r>
        <w:rPr>
          <w:rFonts w:asciiTheme="majorHAnsi" w:hAnsiTheme="majorHAnsi" w:cstheme="majorHAnsi"/>
          <w:sz w:val="22"/>
          <w:szCs w:val="22"/>
        </w:rPr>
        <w:t>Kate Geary,</w:t>
      </w:r>
    </w:p>
    <w:p w14:paraId="707878C6" w14:textId="4CEF400A" w:rsidR="00A12D96" w:rsidRDefault="00A12D96" w:rsidP="006644B0">
      <w:pPr>
        <w:spacing w:line="276" w:lineRule="auto"/>
        <w:jc w:val="both"/>
        <w:rPr>
          <w:rFonts w:asciiTheme="majorHAnsi" w:hAnsiTheme="majorHAnsi" w:cstheme="majorHAnsi"/>
          <w:sz w:val="22"/>
          <w:szCs w:val="22"/>
        </w:rPr>
      </w:pPr>
      <w:r>
        <w:rPr>
          <w:rFonts w:asciiTheme="majorHAnsi" w:hAnsiTheme="majorHAnsi" w:cstheme="majorHAnsi"/>
          <w:sz w:val="22"/>
          <w:szCs w:val="22"/>
        </w:rPr>
        <w:t>Co-Director, BIC Europe</w:t>
      </w:r>
    </w:p>
    <w:p w14:paraId="14955F58" w14:textId="77777777" w:rsidR="00ED3784" w:rsidRDefault="00ED3784" w:rsidP="00FD4FD8">
      <w:pPr>
        <w:spacing w:line="276" w:lineRule="auto"/>
        <w:rPr>
          <w:rFonts w:asciiTheme="majorHAnsi" w:hAnsiTheme="majorHAnsi" w:cstheme="majorHAnsi"/>
          <w:sz w:val="22"/>
          <w:szCs w:val="22"/>
        </w:rPr>
      </w:pPr>
    </w:p>
    <w:p w14:paraId="4F61165D" w14:textId="0164D6E9" w:rsidR="00A12D96" w:rsidRPr="00ED3784" w:rsidRDefault="00A12D96" w:rsidP="00FD4FD8">
      <w:pPr>
        <w:spacing w:line="276" w:lineRule="auto"/>
        <w:rPr>
          <w:rFonts w:asciiTheme="majorHAnsi" w:hAnsiTheme="majorHAnsi" w:cstheme="majorHAnsi"/>
          <w:sz w:val="20"/>
          <w:szCs w:val="20"/>
        </w:rPr>
      </w:pPr>
      <w:r w:rsidRPr="00ED3784">
        <w:rPr>
          <w:rFonts w:asciiTheme="majorHAnsi" w:hAnsiTheme="majorHAnsi" w:cstheme="majorHAnsi"/>
          <w:sz w:val="20"/>
          <w:szCs w:val="20"/>
        </w:rPr>
        <w:t xml:space="preserve">and the following </w:t>
      </w:r>
      <w:r w:rsidR="00FF3DD0" w:rsidRPr="00ED3784">
        <w:rPr>
          <w:rFonts w:asciiTheme="majorHAnsi" w:hAnsiTheme="majorHAnsi" w:cstheme="majorHAnsi"/>
          <w:sz w:val="20"/>
          <w:szCs w:val="20"/>
        </w:rPr>
        <w:t>organisations</w:t>
      </w:r>
      <w:r w:rsidRPr="00ED3784">
        <w:rPr>
          <w:rFonts w:asciiTheme="majorHAnsi" w:hAnsiTheme="majorHAnsi" w:cstheme="majorHAnsi"/>
          <w:sz w:val="20"/>
          <w:szCs w:val="20"/>
        </w:rPr>
        <w:t>:</w:t>
      </w:r>
      <w:hyperlink r:id="rId9" w:tgtFrame="_blank" w:history="1">
        <w:r w:rsidRPr="00ED3784">
          <w:rPr>
            <w:color w:val="1155CC"/>
            <w:sz w:val="20"/>
            <w:szCs w:val="20"/>
            <w:u w:val="single"/>
          </w:rPr>
          <w:br/>
        </w:r>
        <w:r w:rsidRPr="00ED3784">
          <w:rPr>
            <w:rStyle w:val="Hyperlink"/>
            <w:color w:val="1155CC"/>
            <w:sz w:val="20"/>
            <w:szCs w:val="20"/>
          </w:rPr>
          <w:t>350.org</w:t>
        </w:r>
      </w:hyperlink>
    </w:p>
    <w:p w14:paraId="59E02344" w14:textId="77777777" w:rsidR="00A12D96" w:rsidRPr="00ED3784" w:rsidRDefault="00A12D96" w:rsidP="000B2F7B">
      <w:pPr>
        <w:spacing w:line="276" w:lineRule="auto"/>
        <w:rPr>
          <w:sz w:val="20"/>
          <w:szCs w:val="20"/>
        </w:rPr>
      </w:pPr>
      <w:proofErr w:type="spellStart"/>
      <w:r w:rsidRPr="00ED3784">
        <w:rPr>
          <w:sz w:val="20"/>
          <w:szCs w:val="20"/>
        </w:rPr>
        <w:t>Abibiman</w:t>
      </w:r>
      <w:proofErr w:type="spellEnd"/>
      <w:r w:rsidRPr="00ED3784">
        <w:rPr>
          <w:sz w:val="20"/>
          <w:szCs w:val="20"/>
        </w:rPr>
        <w:t xml:space="preserve"> Foundation </w:t>
      </w:r>
    </w:p>
    <w:p w14:paraId="0A387059" w14:textId="77777777" w:rsidR="00A12D96" w:rsidRPr="00ED3784" w:rsidRDefault="00A12D96" w:rsidP="000B2F7B">
      <w:pPr>
        <w:spacing w:line="276" w:lineRule="auto"/>
        <w:rPr>
          <w:sz w:val="20"/>
          <w:szCs w:val="20"/>
        </w:rPr>
      </w:pPr>
      <w:r w:rsidRPr="00ED3784">
        <w:rPr>
          <w:sz w:val="20"/>
          <w:szCs w:val="20"/>
        </w:rPr>
        <w:t>Accountability Counsel</w:t>
      </w:r>
    </w:p>
    <w:p w14:paraId="10A6BB01" w14:textId="437D3156" w:rsidR="00A12D96" w:rsidRPr="00ED3784" w:rsidRDefault="00A12D96" w:rsidP="000B2F7B">
      <w:pPr>
        <w:spacing w:line="276" w:lineRule="auto"/>
        <w:rPr>
          <w:sz w:val="20"/>
          <w:szCs w:val="20"/>
        </w:rPr>
      </w:pPr>
      <w:r w:rsidRPr="00ED3784">
        <w:rPr>
          <w:sz w:val="20"/>
          <w:szCs w:val="20"/>
        </w:rPr>
        <w:t xml:space="preserve">Action </w:t>
      </w:r>
      <w:proofErr w:type="spellStart"/>
      <w:r w:rsidRPr="00ED3784">
        <w:rPr>
          <w:sz w:val="20"/>
          <w:szCs w:val="20"/>
        </w:rPr>
        <w:t>Paysanne</w:t>
      </w:r>
      <w:proofErr w:type="spellEnd"/>
      <w:r w:rsidRPr="00ED3784">
        <w:rPr>
          <w:sz w:val="20"/>
          <w:szCs w:val="20"/>
        </w:rPr>
        <w:t xml:space="preserve"> </w:t>
      </w:r>
      <w:proofErr w:type="spellStart"/>
      <w:r w:rsidRPr="00ED3784">
        <w:rPr>
          <w:sz w:val="20"/>
          <w:szCs w:val="20"/>
        </w:rPr>
        <w:t>Contre</w:t>
      </w:r>
      <w:proofErr w:type="spellEnd"/>
      <w:r w:rsidRPr="00ED3784">
        <w:rPr>
          <w:sz w:val="20"/>
          <w:szCs w:val="20"/>
        </w:rPr>
        <w:t xml:space="preserve"> la </w:t>
      </w:r>
      <w:proofErr w:type="spellStart"/>
      <w:r w:rsidRPr="00ED3784">
        <w:rPr>
          <w:sz w:val="20"/>
          <w:szCs w:val="20"/>
        </w:rPr>
        <w:t>Faim</w:t>
      </w:r>
      <w:proofErr w:type="spellEnd"/>
    </w:p>
    <w:p w14:paraId="34DA97A5" w14:textId="28A88483" w:rsidR="00F7182E" w:rsidRPr="00ED3784" w:rsidRDefault="00F7182E" w:rsidP="000B2F7B">
      <w:pPr>
        <w:spacing w:line="276" w:lineRule="auto"/>
        <w:rPr>
          <w:sz w:val="20"/>
          <w:szCs w:val="20"/>
        </w:rPr>
      </w:pPr>
      <w:proofErr w:type="spellStart"/>
      <w:r w:rsidRPr="00ED3784">
        <w:rPr>
          <w:sz w:val="20"/>
          <w:szCs w:val="20"/>
        </w:rPr>
        <w:t>Aksi</w:t>
      </w:r>
      <w:proofErr w:type="spellEnd"/>
      <w:r w:rsidRPr="00ED3784">
        <w:rPr>
          <w:sz w:val="20"/>
          <w:szCs w:val="20"/>
        </w:rPr>
        <w:t>!</w:t>
      </w:r>
    </w:p>
    <w:p w14:paraId="684D5BC0" w14:textId="77777777" w:rsidR="00A12D96" w:rsidRPr="00ED3784" w:rsidRDefault="00A12D96" w:rsidP="000B2F7B">
      <w:pPr>
        <w:spacing w:line="276" w:lineRule="auto"/>
        <w:rPr>
          <w:sz w:val="20"/>
          <w:szCs w:val="20"/>
        </w:rPr>
      </w:pPr>
      <w:r w:rsidRPr="00ED3784">
        <w:rPr>
          <w:sz w:val="20"/>
          <w:szCs w:val="20"/>
        </w:rPr>
        <w:t>Alliance Sud</w:t>
      </w:r>
    </w:p>
    <w:p w14:paraId="0E3A77D9" w14:textId="215FCBB1" w:rsidR="00A12D96" w:rsidRPr="00ED3784" w:rsidRDefault="00A12D96" w:rsidP="000B2F7B">
      <w:pPr>
        <w:spacing w:line="276" w:lineRule="auto"/>
        <w:rPr>
          <w:sz w:val="20"/>
          <w:szCs w:val="20"/>
        </w:rPr>
      </w:pPr>
      <w:r w:rsidRPr="00ED3784">
        <w:rPr>
          <w:sz w:val="20"/>
          <w:szCs w:val="20"/>
        </w:rPr>
        <w:t>Amnesty International</w:t>
      </w:r>
    </w:p>
    <w:p w14:paraId="7315FA33" w14:textId="5F3BF9A8" w:rsidR="00A12C85" w:rsidRPr="00ED3784" w:rsidRDefault="00A12C85" w:rsidP="000B2F7B">
      <w:pPr>
        <w:spacing w:line="276" w:lineRule="auto"/>
        <w:rPr>
          <w:sz w:val="20"/>
          <w:szCs w:val="20"/>
        </w:rPr>
      </w:pPr>
      <w:r w:rsidRPr="00ED3784">
        <w:rPr>
          <w:sz w:val="20"/>
          <w:szCs w:val="20"/>
        </w:rPr>
        <w:lastRenderedPageBreak/>
        <w:t>Asian Peoples Movement on Debt and Development</w:t>
      </w:r>
    </w:p>
    <w:p w14:paraId="505BE694" w14:textId="74F1FC87" w:rsidR="00A12D96" w:rsidRPr="00ED3784" w:rsidRDefault="00A12D96" w:rsidP="000B2F7B">
      <w:pPr>
        <w:spacing w:line="276" w:lineRule="auto"/>
        <w:rPr>
          <w:rFonts w:asciiTheme="majorHAnsi" w:hAnsiTheme="majorHAnsi"/>
          <w:sz w:val="20"/>
          <w:szCs w:val="20"/>
        </w:rPr>
      </w:pPr>
      <w:r w:rsidRPr="00ED3784">
        <w:rPr>
          <w:rFonts w:asciiTheme="majorHAnsi" w:hAnsiTheme="majorHAnsi"/>
          <w:sz w:val="20"/>
          <w:szCs w:val="20"/>
        </w:rPr>
        <w:t xml:space="preserve">Bangladesh </w:t>
      </w:r>
      <w:proofErr w:type="spellStart"/>
      <w:r w:rsidRPr="00ED3784">
        <w:rPr>
          <w:rFonts w:asciiTheme="majorHAnsi" w:hAnsiTheme="majorHAnsi"/>
          <w:sz w:val="20"/>
          <w:szCs w:val="20"/>
        </w:rPr>
        <w:t>Poribesh</w:t>
      </w:r>
      <w:proofErr w:type="spellEnd"/>
      <w:r w:rsidRPr="00ED3784">
        <w:rPr>
          <w:rFonts w:asciiTheme="majorHAnsi" w:hAnsiTheme="majorHAnsi"/>
          <w:sz w:val="20"/>
          <w:szCs w:val="20"/>
        </w:rPr>
        <w:t xml:space="preserve"> </w:t>
      </w:r>
      <w:proofErr w:type="spellStart"/>
      <w:r w:rsidRPr="00ED3784">
        <w:rPr>
          <w:rFonts w:asciiTheme="majorHAnsi" w:hAnsiTheme="majorHAnsi"/>
          <w:sz w:val="20"/>
          <w:szCs w:val="20"/>
        </w:rPr>
        <w:t>Andolon</w:t>
      </w:r>
      <w:proofErr w:type="spellEnd"/>
      <w:r w:rsidRPr="00ED3784">
        <w:rPr>
          <w:rFonts w:asciiTheme="majorHAnsi" w:hAnsiTheme="majorHAnsi"/>
          <w:sz w:val="20"/>
          <w:szCs w:val="20"/>
        </w:rPr>
        <w:t xml:space="preserve"> (BAPA)</w:t>
      </w:r>
    </w:p>
    <w:p w14:paraId="5338EE79" w14:textId="77777777" w:rsidR="00122C80" w:rsidRPr="00ED3784" w:rsidRDefault="00122C80" w:rsidP="000B2F7B">
      <w:pPr>
        <w:pStyle w:val="m58616789185705682msolistparagraph"/>
        <w:spacing w:before="0" w:beforeAutospacing="0" w:after="0" w:afterAutospacing="0" w:line="276" w:lineRule="auto"/>
        <w:rPr>
          <w:rFonts w:asciiTheme="majorHAnsi" w:hAnsiTheme="majorHAnsi" w:cs="Arial"/>
          <w:color w:val="222222"/>
          <w:sz w:val="20"/>
          <w:szCs w:val="20"/>
        </w:rPr>
      </w:pPr>
      <w:r w:rsidRPr="00ED3784">
        <w:rPr>
          <w:rStyle w:val="m58616789185705682defaultfonthxmailstyle"/>
          <w:rFonts w:asciiTheme="majorHAnsi" w:hAnsiTheme="majorHAnsi" w:cs="Arial"/>
          <w:sz w:val="20"/>
          <w:szCs w:val="20"/>
        </w:rPr>
        <w:t>Bangladesh Working Group on External Debt (BWGED)</w:t>
      </w:r>
    </w:p>
    <w:p w14:paraId="331141AC" w14:textId="41F7F66A" w:rsidR="00A12D96" w:rsidRPr="00ED3784" w:rsidRDefault="00A12D96" w:rsidP="000B2F7B">
      <w:pPr>
        <w:spacing w:line="276" w:lineRule="auto"/>
        <w:rPr>
          <w:sz w:val="20"/>
          <w:szCs w:val="20"/>
        </w:rPr>
      </w:pPr>
      <w:proofErr w:type="spellStart"/>
      <w:r w:rsidRPr="00ED3784">
        <w:rPr>
          <w:sz w:val="20"/>
          <w:szCs w:val="20"/>
        </w:rPr>
        <w:t>BankTrack</w:t>
      </w:r>
      <w:proofErr w:type="spellEnd"/>
    </w:p>
    <w:p w14:paraId="60B51E04" w14:textId="493C7069" w:rsidR="00FF4CA2" w:rsidRPr="00ED3784" w:rsidRDefault="00FF4CA2" w:rsidP="000B2F7B">
      <w:pPr>
        <w:spacing w:line="276" w:lineRule="auto"/>
        <w:rPr>
          <w:sz w:val="20"/>
          <w:szCs w:val="20"/>
        </w:rPr>
      </w:pPr>
      <w:r w:rsidRPr="00ED3784">
        <w:rPr>
          <w:sz w:val="20"/>
          <w:szCs w:val="20"/>
        </w:rPr>
        <w:t>Both Ends</w:t>
      </w:r>
    </w:p>
    <w:p w14:paraId="16DF07FC" w14:textId="77777777" w:rsidR="00A12D96" w:rsidRPr="00ED3784" w:rsidRDefault="00A12D96" w:rsidP="000B2F7B">
      <w:pPr>
        <w:spacing w:line="276" w:lineRule="auto"/>
        <w:rPr>
          <w:sz w:val="20"/>
          <w:szCs w:val="20"/>
        </w:rPr>
      </w:pPr>
      <w:proofErr w:type="spellStart"/>
      <w:r w:rsidRPr="00ED3784">
        <w:rPr>
          <w:sz w:val="20"/>
          <w:szCs w:val="20"/>
        </w:rPr>
        <w:t>Buliisa</w:t>
      </w:r>
      <w:proofErr w:type="spellEnd"/>
      <w:r w:rsidRPr="00ED3784">
        <w:rPr>
          <w:sz w:val="20"/>
          <w:szCs w:val="20"/>
        </w:rPr>
        <w:t xml:space="preserve"> Initiative for Rural Development Organisation (BIRUDO)</w:t>
      </w:r>
    </w:p>
    <w:p w14:paraId="53C12A68" w14:textId="276A2720" w:rsidR="00A12D96" w:rsidRPr="00ED3784" w:rsidRDefault="00A12D96" w:rsidP="000B2F7B">
      <w:pPr>
        <w:spacing w:line="276" w:lineRule="auto"/>
        <w:rPr>
          <w:sz w:val="20"/>
          <w:szCs w:val="20"/>
        </w:rPr>
      </w:pPr>
      <w:r w:rsidRPr="00ED3784">
        <w:rPr>
          <w:sz w:val="20"/>
          <w:szCs w:val="20"/>
        </w:rPr>
        <w:t>CAFOD</w:t>
      </w:r>
    </w:p>
    <w:p w14:paraId="2E6BABAD" w14:textId="328E2535" w:rsidR="00BB5E79" w:rsidRPr="00ED3784" w:rsidRDefault="00BB5E79" w:rsidP="000B2F7B">
      <w:pPr>
        <w:spacing w:line="276" w:lineRule="auto"/>
        <w:rPr>
          <w:sz w:val="20"/>
          <w:szCs w:val="20"/>
        </w:rPr>
      </w:pPr>
      <w:r w:rsidRPr="00ED3784">
        <w:rPr>
          <w:sz w:val="20"/>
          <w:szCs w:val="20"/>
        </w:rPr>
        <w:t>Centre for Environmental Justice</w:t>
      </w:r>
    </w:p>
    <w:p w14:paraId="62E9838F" w14:textId="382556EA" w:rsidR="00A12D96" w:rsidRPr="00ED3784" w:rsidRDefault="00A12D96" w:rsidP="000B2F7B">
      <w:pPr>
        <w:spacing w:line="276" w:lineRule="auto"/>
        <w:rPr>
          <w:sz w:val="20"/>
          <w:szCs w:val="20"/>
        </w:rPr>
      </w:pPr>
      <w:r w:rsidRPr="00ED3784">
        <w:rPr>
          <w:sz w:val="20"/>
          <w:szCs w:val="20"/>
        </w:rPr>
        <w:t xml:space="preserve">Centre </w:t>
      </w:r>
      <w:r w:rsidR="00845173" w:rsidRPr="00ED3784">
        <w:rPr>
          <w:sz w:val="20"/>
          <w:szCs w:val="20"/>
        </w:rPr>
        <w:t>f</w:t>
      </w:r>
      <w:r w:rsidRPr="00ED3784">
        <w:rPr>
          <w:sz w:val="20"/>
          <w:szCs w:val="20"/>
        </w:rPr>
        <w:t>or Financial Accountability</w:t>
      </w:r>
    </w:p>
    <w:p w14:paraId="5CDDF306" w14:textId="77777777" w:rsidR="00A12D96" w:rsidRPr="00ED3784" w:rsidRDefault="00A12D96" w:rsidP="000B2F7B">
      <w:pPr>
        <w:spacing w:line="276" w:lineRule="auto"/>
        <w:rPr>
          <w:sz w:val="20"/>
          <w:szCs w:val="20"/>
        </w:rPr>
      </w:pPr>
      <w:r w:rsidRPr="00ED3784">
        <w:rPr>
          <w:sz w:val="20"/>
          <w:szCs w:val="20"/>
        </w:rPr>
        <w:t>Centre for Human Rights and Development </w:t>
      </w:r>
    </w:p>
    <w:p w14:paraId="0DA73773" w14:textId="77777777" w:rsidR="00A12D96" w:rsidRPr="00ED3784" w:rsidRDefault="00A12D96" w:rsidP="000B2F7B">
      <w:pPr>
        <w:spacing w:line="276" w:lineRule="auto"/>
        <w:rPr>
          <w:sz w:val="20"/>
          <w:szCs w:val="20"/>
        </w:rPr>
      </w:pPr>
      <w:r w:rsidRPr="00ED3784">
        <w:rPr>
          <w:sz w:val="20"/>
          <w:szCs w:val="20"/>
        </w:rPr>
        <w:t>China Latin America Sustainable Investments Initiative</w:t>
      </w:r>
    </w:p>
    <w:p w14:paraId="1A2D7E9C" w14:textId="28D13D8D" w:rsidR="00A12D96" w:rsidRPr="00ED3784" w:rsidRDefault="00A12D96" w:rsidP="000B2F7B">
      <w:pPr>
        <w:spacing w:line="276" w:lineRule="auto"/>
        <w:rPr>
          <w:rFonts w:asciiTheme="majorHAnsi" w:hAnsiTheme="majorHAnsi"/>
          <w:sz w:val="20"/>
          <w:szCs w:val="20"/>
        </w:rPr>
      </w:pPr>
      <w:r w:rsidRPr="00ED3784">
        <w:rPr>
          <w:rFonts w:asciiTheme="majorHAnsi" w:hAnsiTheme="majorHAnsi"/>
          <w:sz w:val="20"/>
          <w:szCs w:val="20"/>
        </w:rPr>
        <w:t>Christian Aid</w:t>
      </w:r>
    </w:p>
    <w:p w14:paraId="7DF680EA" w14:textId="77777777" w:rsidR="00600E85" w:rsidRPr="00ED3784" w:rsidRDefault="00600E85" w:rsidP="000B2F7B">
      <w:pPr>
        <w:pStyle w:val="m58616789185705682msolistparagraph"/>
        <w:spacing w:before="0" w:beforeAutospacing="0" w:after="0" w:afterAutospacing="0" w:line="276" w:lineRule="auto"/>
        <w:rPr>
          <w:rFonts w:asciiTheme="majorHAnsi" w:hAnsiTheme="majorHAnsi" w:cs="Arial"/>
          <w:color w:val="222222"/>
          <w:sz w:val="20"/>
          <w:szCs w:val="20"/>
        </w:rPr>
      </w:pPr>
      <w:r w:rsidRPr="00ED3784">
        <w:rPr>
          <w:rStyle w:val="m58616789185705682defaultfonthxmailstyle"/>
          <w:rFonts w:asciiTheme="majorHAnsi" w:hAnsiTheme="majorHAnsi" w:cs="Arial"/>
          <w:sz w:val="20"/>
          <w:szCs w:val="20"/>
        </w:rPr>
        <w:t>CLEAN (Coastal Livelihood and Environmental Action Network)</w:t>
      </w:r>
    </w:p>
    <w:p w14:paraId="783151FB" w14:textId="77777777" w:rsidR="00A12D96" w:rsidRPr="00ED3784" w:rsidRDefault="00A12D96" w:rsidP="000B2F7B">
      <w:pPr>
        <w:spacing w:line="276" w:lineRule="auto"/>
        <w:rPr>
          <w:sz w:val="20"/>
          <w:szCs w:val="20"/>
        </w:rPr>
      </w:pPr>
      <w:r w:rsidRPr="00ED3784">
        <w:rPr>
          <w:sz w:val="20"/>
          <w:szCs w:val="20"/>
        </w:rPr>
        <w:t xml:space="preserve">Conseil </w:t>
      </w:r>
      <w:proofErr w:type="spellStart"/>
      <w:r w:rsidRPr="00ED3784">
        <w:rPr>
          <w:sz w:val="20"/>
          <w:szCs w:val="20"/>
        </w:rPr>
        <w:t>Régional</w:t>
      </w:r>
      <w:proofErr w:type="spellEnd"/>
      <w:r w:rsidRPr="00ED3784">
        <w:rPr>
          <w:sz w:val="20"/>
          <w:szCs w:val="20"/>
        </w:rPr>
        <w:t xml:space="preserve"> des ONG de </w:t>
      </w:r>
      <w:proofErr w:type="spellStart"/>
      <w:r w:rsidRPr="00ED3784">
        <w:rPr>
          <w:sz w:val="20"/>
          <w:szCs w:val="20"/>
        </w:rPr>
        <w:t>Développement</w:t>
      </w:r>
      <w:proofErr w:type="spellEnd"/>
    </w:p>
    <w:p w14:paraId="5A33854A" w14:textId="28798542" w:rsidR="00BB5E79" w:rsidRPr="00ED3784" w:rsidRDefault="00A12D96" w:rsidP="000B2F7B">
      <w:pPr>
        <w:spacing w:line="276" w:lineRule="auto"/>
        <w:rPr>
          <w:sz w:val="20"/>
          <w:szCs w:val="20"/>
        </w:rPr>
      </w:pPr>
      <w:r w:rsidRPr="00ED3784">
        <w:rPr>
          <w:sz w:val="20"/>
          <w:szCs w:val="20"/>
        </w:rPr>
        <w:t>Equitable Cambodia</w:t>
      </w:r>
    </w:p>
    <w:p w14:paraId="58FA036D" w14:textId="0F7DA122" w:rsidR="001869EA" w:rsidRPr="00ED3784" w:rsidRDefault="001869EA" w:rsidP="000B2F7B">
      <w:pPr>
        <w:spacing w:line="276" w:lineRule="auto"/>
        <w:rPr>
          <w:sz w:val="20"/>
          <w:szCs w:val="20"/>
        </w:rPr>
      </w:pPr>
      <w:proofErr w:type="spellStart"/>
      <w:r w:rsidRPr="00ED3784">
        <w:rPr>
          <w:sz w:val="20"/>
          <w:szCs w:val="20"/>
        </w:rPr>
        <w:t>Eurodad</w:t>
      </w:r>
      <w:proofErr w:type="spellEnd"/>
    </w:p>
    <w:p w14:paraId="36D3A3D1" w14:textId="00967744" w:rsidR="00A12D96" w:rsidRPr="00ED3784" w:rsidRDefault="00BB5E79" w:rsidP="000B2F7B">
      <w:pPr>
        <w:spacing w:line="276" w:lineRule="auto"/>
        <w:rPr>
          <w:sz w:val="20"/>
          <w:szCs w:val="20"/>
        </w:rPr>
      </w:pPr>
      <w:r w:rsidRPr="00ED3784">
        <w:rPr>
          <w:sz w:val="20"/>
          <w:szCs w:val="20"/>
        </w:rPr>
        <w:t>Friends of the Earth Japan</w:t>
      </w:r>
      <w:r w:rsidR="00C75C60" w:rsidRPr="00ED3784">
        <w:rPr>
          <w:sz w:val="20"/>
          <w:szCs w:val="20"/>
        </w:rPr>
        <w:t xml:space="preserve"> </w:t>
      </w:r>
    </w:p>
    <w:p w14:paraId="71FCE0A8" w14:textId="77777777" w:rsidR="00A12D96" w:rsidRPr="00ED3784" w:rsidRDefault="00A12D96" w:rsidP="000B2F7B">
      <w:pPr>
        <w:spacing w:line="276" w:lineRule="auto"/>
        <w:rPr>
          <w:sz w:val="20"/>
          <w:szCs w:val="20"/>
        </w:rPr>
      </w:pPr>
      <w:r w:rsidRPr="00ED3784">
        <w:rPr>
          <w:sz w:val="20"/>
          <w:szCs w:val="20"/>
        </w:rPr>
        <w:t>Friends of the Earth US</w:t>
      </w:r>
    </w:p>
    <w:p w14:paraId="70B3E964" w14:textId="77777777" w:rsidR="00A12D96" w:rsidRPr="00ED3784" w:rsidRDefault="00A12D96" w:rsidP="000B2F7B">
      <w:pPr>
        <w:spacing w:line="276" w:lineRule="auto"/>
        <w:rPr>
          <w:sz w:val="20"/>
          <w:szCs w:val="20"/>
        </w:rPr>
      </w:pPr>
      <w:r w:rsidRPr="00ED3784">
        <w:rPr>
          <w:sz w:val="20"/>
          <w:szCs w:val="20"/>
        </w:rPr>
        <w:t>Gender Action</w:t>
      </w:r>
    </w:p>
    <w:p w14:paraId="3FD8B429" w14:textId="77777777" w:rsidR="00A12D96" w:rsidRPr="00ED3784" w:rsidRDefault="00A12D96" w:rsidP="000B2F7B">
      <w:pPr>
        <w:spacing w:line="276" w:lineRule="auto"/>
        <w:rPr>
          <w:sz w:val="20"/>
          <w:szCs w:val="20"/>
        </w:rPr>
      </w:pPr>
      <w:r w:rsidRPr="00ED3784">
        <w:rPr>
          <w:sz w:val="20"/>
          <w:szCs w:val="20"/>
        </w:rPr>
        <w:t xml:space="preserve">Global Responsibility (AG </w:t>
      </w:r>
      <w:proofErr w:type="spellStart"/>
      <w:r w:rsidRPr="00ED3784">
        <w:rPr>
          <w:sz w:val="20"/>
          <w:szCs w:val="20"/>
        </w:rPr>
        <w:t>Globale</w:t>
      </w:r>
      <w:proofErr w:type="spellEnd"/>
      <w:r w:rsidRPr="00ED3784">
        <w:rPr>
          <w:sz w:val="20"/>
          <w:szCs w:val="20"/>
        </w:rPr>
        <w:t xml:space="preserve"> </w:t>
      </w:r>
      <w:proofErr w:type="spellStart"/>
      <w:r w:rsidRPr="00ED3784">
        <w:rPr>
          <w:sz w:val="20"/>
          <w:szCs w:val="20"/>
        </w:rPr>
        <w:t>Verantwortung</w:t>
      </w:r>
      <w:proofErr w:type="spellEnd"/>
      <w:r w:rsidRPr="00ED3784">
        <w:rPr>
          <w:sz w:val="20"/>
          <w:szCs w:val="20"/>
        </w:rPr>
        <w:t>)</w:t>
      </w:r>
    </w:p>
    <w:p w14:paraId="2C903AB0" w14:textId="34282EDB" w:rsidR="00A12D96" w:rsidRPr="00ED3784" w:rsidRDefault="00A12D96" w:rsidP="000B2F7B">
      <w:pPr>
        <w:spacing w:line="276" w:lineRule="auto"/>
        <w:rPr>
          <w:sz w:val="20"/>
          <w:szCs w:val="20"/>
        </w:rPr>
      </w:pPr>
      <w:r w:rsidRPr="00ED3784">
        <w:rPr>
          <w:sz w:val="20"/>
          <w:szCs w:val="20"/>
        </w:rPr>
        <w:t>Green Advocates International</w:t>
      </w:r>
    </w:p>
    <w:p w14:paraId="1C615E5A" w14:textId="71029F13" w:rsidR="00A12D96" w:rsidRPr="00ED3784" w:rsidRDefault="00A12D96" w:rsidP="000B2F7B">
      <w:pPr>
        <w:spacing w:line="276" w:lineRule="auto"/>
        <w:rPr>
          <w:sz w:val="20"/>
          <w:szCs w:val="20"/>
        </w:rPr>
      </w:pPr>
      <w:r w:rsidRPr="00ED3784">
        <w:rPr>
          <w:sz w:val="20"/>
          <w:szCs w:val="20"/>
        </w:rPr>
        <w:t>Inclusive Development International</w:t>
      </w:r>
    </w:p>
    <w:p w14:paraId="0C9D9AD6" w14:textId="12CB7C60" w:rsidR="006F342A" w:rsidRPr="00ED3784" w:rsidRDefault="006F342A" w:rsidP="000B2F7B">
      <w:pPr>
        <w:spacing w:line="276" w:lineRule="auto"/>
        <w:rPr>
          <w:sz w:val="20"/>
          <w:szCs w:val="20"/>
        </w:rPr>
      </w:pPr>
      <w:r w:rsidRPr="00ED3784">
        <w:rPr>
          <w:sz w:val="20"/>
          <w:szCs w:val="20"/>
        </w:rPr>
        <w:t>Indian Social Action Forum</w:t>
      </w:r>
    </w:p>
    <w:p w14:paraId="5274F6AC" w14:textId="7B9469B8" w:rsidR="001213DC" w:rsidRPr="00ED3784" w:rsidRDefault="001213DC" w:rsidP="000B2F7B">
      <w:pPr>
        <w:spacing w:line="276" w:lineRule="auto"/>
        <w:rPr>
          <w:sz w:val="20"/>
          <w:szCs w:val="20"/>
        </w:rPr>
      </w:pPr>
      <w:r w:rsidRPr="00ED3784">
        <w:rPr>
          <w:sz w:val="20"/>
          <w:szCs w:val="20"/>
        </w:rPr>
        <w:t>Initiative for Right View</w:t>
      </w:r>
    </w:p>
    <w:p w14:paraId="257E116A" w14:textId="77777777" w:rsidR="00A12D96" w:rsidRPr="00ED3784" w:rsidRDefault="00A12D96" w:rsidP="000B2F7B">
      <w:pPr>
        <w:spacing w:line="276" w:lineRule="auto"/>
        <w:rPr>
          <w:sz w:val="20"/>
          <w:szCs w:val="20"/>
        </w:rPr>
      </w:pPr>
      <w:r w:rsidRPr="00ED3784">
        <w:rPr>
          <w:sz w:val="20"/>
          <w:szCs w:val="20"/>
        </w:rPr>
        <w:t>International Rivers</w:t>
      </w:r>
    </w:p>
    <w:p w14:paraId="672C2D55" w14:textId="77777777" w:rsidR="00A12D96" w:rsidRPr="00ED3784" w:rsidRDefault="00A12D96" w:rsidP="000B2F7B">
      <w:pPr>
        <w:spacing w:line="276" w:lineRule="auto"/>
        <w:rPr>
          <w:sz w:val="20"/>
          <w:szCs w:val="20"/>
        </w:rPr>
      </w:pPr>
      <w:r w:rsidRPr="00ED3784">
        <w:rPr>
          <w:sz w:val="20"/>
          <w:szCs w:val="20"/>
        </w:rPr>
        <w:t xml:space="preserve">Lumière </w:t>
      </w:r>
      <w:proofErr w:type="spellStart"/>
      <w:r w:rsidRPr="00ED3784">
        <w:rPr>
          <w:sz w:val="20"/>
          <w:szCs w:val="20"/>
        </w:rPr>
        <w:t>Synergie</w:t>
      </w:r>
      <w:proofErr w:type="spellEnd"/>
      <w:r w:rsidRPr="00ED3784">
        <w:rPr>
          <w:sz w:val="20"/>
          <w:szCs w:val="20"/>
        </w:rPr>
        <w:t xml:space="preserve"> pour le </w:t>
      </w:r>
      <w:proofErr w:type="spellStart"/>
      <w:r w:rsidRPr="00ED3784">
        <w:rPr>
          <w:sz w:val="20"/>
          <w:szCs w:val="20"/>
        </w:rPr>
        <w:t>Developpement</w:t>
      </w:r>
      <w:proofErr w:type="spellEnd"/>
    </w:p>
    <w:p w14:paraId="7679FFA5" w14:textId="212AFFE9" w:rsidR="00A12D96" w:rsidRPr="00ED3784" w:rsidRDefault="00A12D96" w:rsidP="000B2F7B">
      <w:pPr>
        <w:spacing w:line="276" w:lineRule="auto"/>
        <w:rPr>
          <w:sz w:val="20"/>
          <w:szCs w:val="20"/>
        </w:rPr>
      </w:pPr>
      <w:proofErr w:type="spellStart"/>
      <w:r w:rsidRPr="00ED3784">
        <w:rPr>
          <w:sz w:val="20"/>
          <w:szCs w:val="20"/>
        </w:rPr>
        <w:t>Machimar</w:t>
      </w:r>
      <w:proofErr w:type="spellEnd"/>
      <w:r w:rsidR="00C75C60" w:rsidRPr="00ED3784">
        <w:rPr>
          <w:sz w:val="20"/>
          <w:szCs w:val="20"/>
        </w:rPr>
        <w:t xml:space="preserve"> </w:t>
      </w:r>
      <w:proofErr w:type="spellStart"/>
      <w:r w:rsidRPr="00ED3784">
        <w:rPr>
          <w:sz w:val="20"/>
          <w:szCs w:val="20"/>
        </w:rPr>
        <w:t>Adhikar</w:t>
      </w:r>
      <w:proofErr w:type="spellEnd"/>
      <w:r w:rsidRPr="00ED3784">
        <w:rPr>
          <w:sz w:val="20"/>
          <w:szCs w:val="20"/>
        </w:rPr>
        <w:t xml:space="preserve"> </w:t>
      </w:r>
      <w:proofErr w:type="spellStart"/>
      <w:r w:rsidRPr="00ED3784">
        <w:rPr>
          <w:sz w:val="20"/>
          <w:szCs w:val="20"/>
        </w:rPr>
        <w:t>Sangharsh</w:t>
      </w:r>
      <w:proofErr w:type="spellEnd"/>
      <w:r w:rsidRPr="00ED3784">
        <w:rPr>
          <w:sz w:val="20"/>
          <w:szCs w:val="20"/>
        </w:rPr>
        <w:t xml:space="preserve"> </w:t>
      </w:r>
      <w:proofErr w:type="spellStart"/>
      <w:r w:rsidRPr="00ED3784">
        <w:rPr>
          <w:sz w:val="20"/>
          <w:szCs w:val="20"/>
        </w:rPr>
        <w:t>Sangathan</w:t>
      </w:r>
      <w:proofErr w:type="spellEnd"/>
    </w:p>
    <w:p w14:paraId="670801DD" w14:textId="0B8FA842" w:rsidR="00A12D96" w:rsidRPr="00ED3784" w:rsidRDefault="00A12D96" w:rsidP="000B2F7B">
      <w:pPr>
        <w:spacing w:line="276" w:lineRule="auto"/>
        <w:rPr>
          <w:sz w:val="20"/>
          <w:szCs w:val="20"/>
        </w:rPr>
      </w:pPr>
      <w:proofErr w:type="spellStart"/>
      <w:r w:rsidRPr="00ED3784">
        <w:rPr>
          <w:sz w:val="20"/>
          <w:szCs w:val="20"/>
        </w:rPr>
        <w:t>Manushya</w:t>
      </w:r>
      <w:proofErr w:type="spellEnd"/>
      <w:r w:rsidRPr="00ED3784">
        <w:rPr>
          <w:sz w:val="20"/>
          <w:szCs w:val="20"/>
        </w:rPr>
        <w:t xml:space="preserve"> Foundation</w:t>
      </w:r>
    </w:p>
    <w:p w14:paraId="21369C4F" w14:textId="6A394CAF" w:rsidR="00397B00" w:rsidRPr="00ED3784" w:rsidRDefault="00397B00" w:rsidP="000B2F7B">
      <w:pPr>
        <w:spacing w:line="276" w:lineRule="auto"/>
        <w:rPr>
          <w:sz w:val="20"/>
          <w:szCs w:val="20"/>
        </w:rPr>
      </w:pPr>
      <w:r w:rsidRPr="00ED3784">
        <w:rPr>
          <w:sz w:val="20"/>
          <w:szCs w:val="20"/>
        </w:rPr>
        <w:t>NGO Forum on ADB</w:t>
      </w:r>
    </w:p>
    <w:p w14:paraId="5B8353D2" w14:textId="77777777" w:rsidR="00A12D96" w:rsidRPr="00ED3784" w:rsidRDefault="00A12D96" w:rsidP="000B2F7B">
      <w:pPr>
        <w:spacing w:line="276" w:lineRule="auto"/>
        <w:rPr>
          <w:sz w:val="20"/>
          <w:szCs w:val="20"/>
        </w:rPr>
      </w:pPr>
      <w:r w:rsidRPr="00ED3784">
        <w:rPr>
          <w:sz w:val="20"/>
          <w:szCs w:val="20"/>
        </w:rPr>
        <w:t xml:space="preserve">Odisha Chas </w:t>
      </w:r>
      <w:proofErr w:type="spellStart"/>
      <w:r w:rsidRPr="00ED3784">
        <w:rPr>
          <w:sz w:val="20"/>
          <w:szCs w:val="20"/>
        </w:rPr>
        <w:t>Parivesh</w:t>
      </w:r>
      <w:proofErr w:type="spellEnd"/>
      <w:r w:rsidRPr="00ED3784">
        <w:rPr>
          <w:sz w:val="20"/>
          <w:szCs w:val="20"/>
        </w:rPr>
        <w:t xml:space="preserve"> </w:t>
      </w:r>
      <w:proofErr w:type="spellStart"/>
      <w:r w:rsidRPr="00ED3784">
        <w:rPr>
          <w:sz w:val="20"/>
          <w:szCs w:val="20"/>
        </w:rPr>
        <w:t>Sureksha</w:t>
      </w:r>
      <w:proofErr w:type="spellEnd"/>
      <w:r w:rsidRPr="00ED3784">
        <w:rPr>
          <w:sz w:val="20"/>
          <w:szCs w:val="20"/>
        </w:rPr>
        <w:t xml:space="preserve"> Parishad</w:t>
      </w:r>
    </w:p>
    <w:p w14:paraId="4B6145A6" w14:textId="77777777" w:rsidR="00A12D96" w:rsidRPr="00ED3784" w:rsidRDefault="00A12D96" w:rsidP="000B2F7B">
      <w:pPr>
        <w:spacing w:line="276" w:lineRule="auto"/>
        <w:rPr>
          <w:sz w:val="20"/>
          <w:szCs w:val="20"/>
        </w:rPr>
      </w:pPr>
      <w:r w:rsidRPr="00ED3784">
        <w:rPr>
          <w:sz w:val="20"/>
          <w:szCs w:val="20"/>
        </w:rPr>
        <w:t>Oil Change International</w:t>
      </w:r>
    </w:p>
    <w:p w14:paraId="0CD56F0E" w14:textId="77777777" w:rsidR="00A12D96" w:rsidRPr="00ED3784" w:rsidRDefault="00A12D96" w:rsidP="000B2F7B">
      <w:pPr>
        <w:spacing w:line="276" w:lineRule="auto"/>
        <w:rPr>
          <w:sz w:val="20"/>
          <w:szCs w:val="20"/>
        </w:rPr>
      </w:pPr>
      <w:r w:rsidRPr="00ED3784">
        <w:rPr>
          <w:sz w:val="20"/>
          <w:szCs w:val="20"/>
        </w:rPr>
        <w:t>Oxfam</w:t>
      </w:r>
    </w:p>
    <w:p w14:paraId="509C69C2" w14:textId="11FE0E5E" w:rsidR="00A12D96" w:rsidRPr="00ED3784" w:rsidRDefault="00A12D96" w:rsidP="000B2F7B">
      <w:pPr>
        <w:spacing w:line="276" w:lineRule="auto"/>
        <w:rPr>
          <w:sz w:val="20"/>
          <w:szCs w:val="20"/>
        </w:rPr>
      </w:pPr>
      <w:r w:rsidRPr="00ED3784">
        <w:rPr>
          <w:sz w:val="20"/>
          <w:szCs w:val="20"/>
        </w:rPr>
        <w:t xml:space="preserve">Rivers without </w:t>
      </w:r>
      <w:r w:rsidR="00FD4FD8" w:rsidRPr="00ED3784">
        <w:rPr>
          <w:sz w:val="20"/>
          <w:szCs w:val="20"/>
        </w:rPr>
        <w:t>B</w:t>
      </w:r>
      <w:r w:rsidRPr="00ED3784">
        <w:rPr>
          <w:sz w:val="20"/>
          <w:szCs w:val="20"/>
        </w:rPr>
        <w:t>oundaries </w:t>
      </w:r>
    </w:p>
    <w:p w14:paraId="5D403606" w14:textId="631C9441" w:rsidR="00BB5E79" w:rsidRPr="00ED3784" w:rsidRDefault="00BB5E79" w:rsidP="000B2F7B">
      <w:pPr>
        <w:spacing w:line="276" w:lineRule="auto"/>
        <w:rPr>
          <w:sz w:val="20"/>
          <w:szCs w:val="20"/>
        </w:rPr>
      </w:pPr>
      <w:r w:rsidRPr="00ED3784">
        <w:rPr>
          <w:sz w:val="20"/>
          <w:szCs w:val="20"/>
        </w:rPr>
        <w:t>Shankar Sharma (individual)</w:t>
      </w:r>
    </w:p>
    <w:p w14:paraId="4FB48AD1" w14:textId="77777777" w:rsidR="00A12D96" w:rsidRPr="00ED3784" w:rsidRDefault="00A12D96" w:rsidP="000B2F7B">
      <w:pPr>
        <w:spacing w:line="276" w:lineRule="auto"/>
        <w:rPr>
          <w:sz w:val="20"/>
          <w:szCs w:val="20"/>
        </w:rPr>
      </w:pPr>
      <w:r w:rsidRPr="00ED3784">
        <w:rPr>
          <w:sz w:val="20"/>
          <w:szCs w:val="20"/>
        </w:rPr>
        <w:t>Social Justice Connection</w:t>
      </w:r>
    </w:p>
    <w:p w14:paraId="5B0B3057" w14:textId="77777777" w:rsidR="00BB5E79" w:rsidRPr="00ED3784" w:rsidRDefault="00BB5E79" w:rsidP="000B2F7B">
      <w:pPr>
        <w:spacing w:line="276" w:lineRule="auto"/>
        <w:rPr>
          <w:sz w:val="20"/>
          <w:szCs w:val="20"/>
        </w:rPr>
      </w:pPr>
      <w:r w:rsidRPr="00ED3784">
        <w:rPr>
          <w:sz w:val="20"/>
          <w:szCs w:val="20"/>
        </w:rPr>
        <w:t>Sri Lanka Nature Group</w:t>
      </w:r>
    </w:p>
    <w:p w14:paraId="60FA3EAE" w14:textId="2594DDBC" w:rsidR="00A12D96" w:rsidRPr="00ED3784" w:rsidRDefault="00A12D96" w:rsidP="000B2F7B">
      <w:pPr>
        <w:spacing w:line="276" w:lineRule="auto"/>
        <w:rPr>
          <w:sz w:val="20"/>
          <w:szCs w:val="20"/>
        </w:rPr>
      </w:pPr>
      <w:proofErr w:type="spellStart"/>
      <w:r w:rsidRPr="00ED3784">
        <w:rPr>
          <w:sz w:val="20"/>
          <w:szCs w:val="20"/>
        </w:rPr>
        <w:t>Srijan</w:t>
      </w:r>
      <w:proofErr w:type="spellEnd"/>
      <w:r w:rsidRPr="00ED3784">
        <w:rPr>
          <w:sz w:val="20"/>
          <w:szCs w:val="20"/>
        </w:rPr>
        <w:t xml:space="preserve"> </w:t>
      </w:r>
      <w:proofErr w:type="spellStart"/>
      <w:r w:rsidRPr="00ED3784">
        <w:rPr>
          <w:sz w:val="20"/>
          <w:szCs w:val="20"/>
        </w:rPr>
        <w:t>Lokhit</w:t>
      </w:r>
      <w:proofErr w:type="spellEnd"/>
      <w:r w:rsidRPr="00ED3784">
        <w:rPr>
          <w:sz w:val="20"/>
          <w:szCs w:val="20"/>
        </w:rPr>
        <w:t xml:space="preserve"> Samiti</w:t>
      </w:r>
    </w:p>
    <w:p w14:paraId="66428426" w14:textId="77777777" w:rsidR="00A12D96" w:rsidRPr="00ED3784" w:rsidRDefault="00A12D96" w:rsidP="000B2F7B">
      <w:pPr>
        <w:spacing w:line="276" w:lineRule="auto"/>
        <w:rPr>
          <w:sz w:val="20"/>
          <w:szCs w:val="20"/>
        </w:rPr>
      </w:pPr>
      <w:proofErr w:type="spellStart"/>
      <w:r w:rsidRPr="00ED3784">
        <w:rPr>
          <w:sz w:val="20"/>
          <w:szCs w:val="20"/>
        </w:rPr>
        <w:t>Umeedenoo</w:t>
      </w:r>
      <w:proofErr w:type="spellEnd"/>
      <w:r w:rsidRPr="00ED3784">
        <w:rPr>
          <w:sz w:val="20"/>
          <w:szCs w:val="20"/>
        </w:rPr>
        <w:t> </w:t>
      </w:r>
    </w:p>
    <w:p w14:paraId="60184734" w14:textId="77777777" w:rsidR="00A12D96" w:rsidRPr="00ED3784" w:rsidRDefault="00A12D96" w:rsidP="000B2F7B">
      <w:pPr>
        <w:spacing w:line="276" w:lineRule="auto"/>
        <w:rPr>
          <w:sz w:val="20"/>
          <w:szCs w:val="20"/>
        </w:rPr>
      </w:pPr>
      <w:proofErr w:type="spellStart"/>
      <w:r w:rsidRPr="00ED3784">
        <w:rPr>
          <w:sz w:val="20"/>
          <w:szCs w:val="20"/>
        </w:rPr>
        <w:t>Urgewald</w:t>
      </w:r>
      <w:proofErr w:type="spellEnd"/>
    </w:p>
    <w:p w14:paraId="72A89CC0" w14:textId="77777777" w:rsidR="00A12D96" w:rsidRPr="00ED3784" w:rsidRDefault="00A12D96" w:rsidP="000B2F7B">
      <w:pPr>
        <w:spacing w:line="276" w:lineRule="auto"/>
        <w:rPr>
          <w:sz w:val="20"/>
          <w:szCs w:val="20"/>
        </w:rPr>
      </w:pPr>
      <w:r w:rsidRPr="00ED3784">
        <w:rPr>
          <w:sz w:val="20"/>
          <w:szCs w:val="20"/>
        </w:rPr>
        <w:t>Witness Radio Organisation</w:t>
      </w:r>
    </w:p>
    <w:p w14:paraId="4C6ED887" w14:textId="77777777" w:rsidR="00A12D96" w:rsidRPr="00ED3784" w:rsidRDefault="00A12D96" w:rsidP="000B2F7B">
      <w:pPr>
        <w:spacing w:line="276" w:lineRule="auto"/>
        <w:rPr>
          <w:sz w:val="20"/>
          <w:szCs w:val="20"/>
        </w:rPr>
      </w:pPr>
      <w:r w:rsidRPr="00ED3784">
        <w:rPr>
          <w:sz w:val="20"/>
          <w:szCs w:val="20"/>
        </w:rPr>
        <w:t>Working Group on IFIs (network of organisations working on IFIs in India)</w:t>
      </w:r>
    </w:p>
    <w:p w14:paraId="1193AC76" w14:textId="50E43F6B" w:rsidR="002D087D" w:rsidRPr="00ED3784" w:rsidRDefault="00A12D96" w:rsidP="00FD4FD8">
      <w:pPr>
        <w:spacing w:line="276" w:lineRule="auto"/>
        <w:rPr>
          <w:sz w:val="20"/>
          <w:szCs w:val="20"/>
        </w:rPr>
      </w:pPr>
      <w:r w:rsidRPr="00ED3784">
        <w:rPr>
          <w:sz w:val="20"/>
          <w:szCs w:val="20"/>
        </w:rPr>
        <w:t xml:space="preserve">Youth </w:t>
      </w:r>
      <w:r w:rsidR="00FF6DEB" w:rsidRPr="00ED3784">
        <w:rPr>
          <w:sz w:val="20"/>
          <w:szCs w:val="20"/>
        </w:rPr>
        <w:t>f</w:t>
      </w:r>
      <w:r w:rsidRPr="00ED3784">
        <w:rPr>
          <w:sz w:val="20"/>
          <w:szCs w:val="20"/>
        </w:rPr>
        <w:t xml:space="preserve">or Environment Education </w:t>
      </w:r>
      <w:r w:rsidR="00235F3C" w:rsidRPr="00ED3784">
        <w:rPr>
          <w:sz w:val="20"/>
          <w:szCs w:val="20"/>
        </w:rPr>
        <w:t>a</w:t>
      </w:r>
      <w:r w:rsidRPr="00ED3784">
        <w:rPr>
          <w:sz w:val="20"/>
          <w:szCs w:val="20"/>
        </w:rPr>
        <w:t xml:space="preserve">nd Development Foundation </w:t>
      </w:r>
      <w:r w:rsidR="002D087D" w:rsidRPr="00ED3784">
        <w:rPr>
          <w:rFonts w:asciiTheme="majorHAnsi" w:hAnsiTheme="majorHAnsi" w:cstheme="majorHAnsi"/>
          <w:sz w:val="20"/>
          <w:szCs w:val="20"/>
        </w:rPr>
        <w:br w:type="page"/>
      </w:r>
    </w:p>
    <w:p w14:paraId="0000004A" w14:textId="13D1D81B" w:rsidR="001D64D0" w:rsidRPr="00FC5221" w:rsidRDefault="009245D5" w:rsidP="00FC5221">
      <w:pPr>
        <w:spacing w:line="276" w:lineRule="auto"/>
        <w:jc w:val="center"/>
        <w:rPr>
          <w:rFonts w:asciiTheme="majorHAnsi" w:hAnsiTheme="majorHAnsi" w:cstheme="majorHAnsi"/>
          <w:b/>
          <w:color w:val="4F81BD" w:themeColor="accent1"/>
          <w:sz w:val="28"/>
          <w:szCs w:val="28"/>
        </w:rPr>
      </w:pPr>
      <w:r w:rsidRPr="00FC5221">
        <w:rPr>
          <w:rFonts w:asciiTheme="majorHAnsi" w:hAnsiTheme="majorHAnsi" w:cstheme="majorHAnsi"/>
          <w:b/>
          <w:color w:val="4F81BD" w:themeColor="accent1"/>
          <w:sz w:val="28"/>
          <w:szCs w:val="28"/>
        </w:rPr>
        <w:lastRenderedPageBreak/>
        <w:t>ANNEX</w:t>
      </w:r>
      <w:r w:rsidR="00FC5221" w:rsidRPr="00FC5221">
        <w:rPr>
          <w:rFonts w:asciiTheme="majorHAnsi" w:hAnsiTheme="majorHAnsi" w:cstheme="majorHAnsi"/>
          <w:b/>
          <w:color w:val="4F81BD" w:themeColor="accent1"/>
          <w:sz w:val="28"/>
          <w:szCs w:val="28"/>
        </w:rPr>
        <w:t xml:space="preserve">: </w:t>
      </w:r>
      <w:r w:rsidR="00D94830">
        <w:rPr>
          <w:rFonts w:asciiTheme="majorHAnsi" w:hAnsiTheme="majorHAnsi" w:cstheme="majorHAnsi"/>
          <w:color w:val="4F81BD" w:themeColor="accent1"/>
          <w:sz w:val="28"/>
          <w:szCs w:val="28"/>
        </w:rPr>
        <w:t>Financial intermediary lending:</w:t>
      </w:r>
      <w:r w:rsidRPr="00FC5221">
        <w:rPr>
          <w:rFonts w:asciiTheme="majorHAnsi" w:hAnsiTheme="majorHAnsi" w:cstheme="majorHAnsi"/>
          <w:color w:val="4F81BD" w:themeColor="accent1"/>
          <w:sz w:val="28"/>
          <w:szCs w:val="28"/>
        </w:rPr>
        <w:t xml:space="preserve"> existing good practice at peer institutions and recommendations for how to address gaps</w:t>
      </w:r>
    </w:p>
    <w:p w14:paraId="0000004B" w14:textId="77777777" w:rsidR="001D64D0" w:rsidRPr="006644B0" w:rsidRDefault="001D64D0" w:rsidP="006644B0">
      <w:pPr>
        <w:spacing w:line="276" w:lineRule="auto"/>
        <w:jc w:val="both"/>
        <w:rPr>
          <w:rFonts w:asciiTheme="majorHAnsi" w:hAnsiTheme="majorHAnsi" w:cstheme="majorHAnsi"/>
          <w:color w:val="000000"/>
          <w:sz w:val="22"/>
          <w:szCs w:val="22"/>
        </w:rPr>
      </w:pPr>
    </w:p>
    <w:p w14:paraId="0000004C" w14:textId="77777777" w:rsidR="001D64D0" w:rsidRPr="00FA2D3A" w:rsidRDefault="009245D5" w:rsidP="006644B0">
      <w:pPr>
        <w:spacing w:line="276" w:lineRule="auto"/>
        <w:jc w:val="center"/>
        <w:rPr>
          <w:rFonts w:asciiTheme="majorHAnsi" w:hAnsiTheme="majorHAnsi" w:cstheme="majorHAnsi"/>
          <w:b/>
          <w:color w:val="000000"/>
          <w:sz w:val="28"/>
          <w:szCs w:val="28"/>
        </w:rPr>
      </w:pPr>
      <w:r w:rsidRPr="00FA2D3A">
        <w:rPr>
          <w:rFonts w:asciiTheme="majorHAnsi" w:hAnsiTheme="majorHAnsi" w:cstheme="majorHAnsi"/>
          <w:b/>
          <w:color w:val="000000"/>
          <w:sz w:val="28"/>
          <w:szCs w:val="28"/>
        </w:rPr>
        <w:t>Information disclosure</w:t>
      </w:r>
    </w:p>
    <w:p w14:paraId="0000004D" w14:textId="77777777" w:rsidR="001D64D0" w:rsidRPr="006644B0" w:rsidRDefault="001D64D0" w:rsidP="006644B0">
      <w:pPr>
        <w:spacing w:line="276" w:lineRule="auto"/>
        <w:jc w:val="center"/>
        <w:rPr>
          <w:rFonts w:asciiTheme="majorHAnsi" w:hAnsiTheme="majorHAnsi" w:cstheme="majorHAnsi"/>
          <w:b/>
          <w:color w:val="000000"/>
          <w:sz w:val="22"/>
          <w:szCs w:val="22"/>
        </w:rPr>
      </w:pPr>
    </w:p>
    <w:p w14:paraId="0000004E" w14:textId="77777777" w:rsidR="001D64D0" w:rsidRPr="006644B0" w:rsidRDefault="009245D5" w:rsidP="006644B0">
      <w:pPr>
        <w:pBdr>
          <w:top w:val="nil"/>
          <w:left w:val="nil"/>
          <w:bottom w:val="nil"/>
          <w:right w:val="nil"/>
          <w:between w:val="nil"/>
        </w:pBdr>
        <w:spacing w:line="276" w:lineRule="auto"/>
        <w:jc w:val="both"/>
        <w:rPr>
          <w:rFonts w:asciiTheme="majorHAnsi" w:hAnsiTheme="majorHAnsi" w:cstheme="majorHAnsi"/>
          <w:b/>
          <w:color w:val="000000"/>
          <w:sz w:val="22"/>
          <w:szCs w:val="22"/>
        </w:rPr>
      </w:pPr>
      <w:r w:rsidRPr="006644B0">
        <w:rPr>
          <w:rFonts w:asciiTheme="majorHAnsi" w:hAnsiTheme="majorHAnsi" w:cstheme="majorHAnsi"/>
          <w:b/>
          <w:color w:val="000000"/>
          <w:sz w:val="22"/>
          <w:szCs w:val="22"/>
        </w:rPr>
        <w:t>Current AIIB policy:</w:t>
      </w:r>
      <w:r w:rsidRPr="006644B0">
        <w:rPr>
          <w:rFonts w:asciiTheme="majorHAnsi" w:hAnsiTheme="majorHAnsi" w:cstheme="majorHAnsi"/>
          <w:color w:val="000000"/>
          <w:sz w:val="22"/>
          <w:szCs w:val="22"/>
        </w:rPr>
        <w:t xml:space="preserve"> The ESF only commits to disclose information about projects supported via FIs in a “timely manner”. FI staff at AIIB are proposing to interpret this as disclosing sub-projects within 12 months of their approval.</w:t>
      </w:r>
    </w:p>
    <w:p w14:paraId="0000004F" w14:textId="77777777" w:rsidR="001D64D0" w:rsidRPr="006644B0" w:rsidRDefault="001D64D0" w:rsidP="006644B0">
      <w:pPr>
        <w:pBdr>
          <w:top w:val="nil"/>
          <w:left w:val="nil"/>
          <w:bottom w:val="nil"/>
          <w:right w:val="nil"/>
          <w:between w:val="nil"/>
        </w:pBdr>
        <w:spacing w:line="276" w:lineRule="auto"/>
        <w:rPr>
          <w:rFonts w:asciiTheme="majorHAnsi" w:hAnsiTheme="majorHAnsi" w:cstheme="majorHAnsi"/>
          <w:b/>
          <w:sz w:val="22"/>
          <w:szCs w:val="22"/>
        </w:rPr>
      </w:pPr>
    </w:p>
    <w:p w14:paraId="00000050" w14:textId="77777777" w:rsidR="001D64D0" w:rsidRPr="006644B0" w:rsidRDefault="009245D5" w:rsidP="006644B0">
      <w:pPr>
        <w:pBdr>
          <w:top w:val="nil"/>
          <w:left w:val="nil"/>
          <w:bottom w:val="nil"/>
          <w:right w:val="nil"/>
          <w:between w:val="nil"/>
        </w:pBdr>
        <w:spacing w:line="276" w:lineRule="auto"/>
        <w:rPr>
          <w:rFonts w:asciiTheme="majorHAnsi" w:hAnsiTheme="majorHAnsi" w:cstheme="majorHAnsi"/>
          <w:i/>
          <w:color w:val="000000"/>
          <w:sz w:val="22"/>
          <w:szCs w:val="22"/>
          <w:highlight w:val="white"/>
        </w:rPr>
      </w:pPr>
      <w:r w:rsidRPr="006644B0">
        <w:rPr>
          <w:rFonts w:asciiTheme="majorHAnsi" w:hAnsiTheme="majorHAnsi" w:cstheme="majorHAnsi"/>
          <w:b/>
          <w:i/>
          <w:color w:val="000000"/>
          <w:sz w:val="22"/>
          <w:szCs w:val="22"/>
        </w:rPr>
        <w:t>Best practice at peer institutions:</w:t>
      </w:r>
      <w:r w:rsidRPr="006644B0">
        <w:rPr>
          <w:rFonts w:asciiTheme="majorHAnsi" w:hAnsiTheme="majorHAnsi" w:cstheme="majorHAnsi"/>
          <w:i/>
          <w:color w:val="000000"/>
          <w:sz w:val="22"/>
          <w:szCs w:val="22"/>
        </w:rPr>
        <w:t xml:space="preserve"> </w:t>
      </w:r>
    </w:p>
    <w:p w14:paraId="00000051" w14:textId="77777777" w:rsidR="001D64D0" w:rsidRPr="006644B0" w:rsidRDefault="001D64D0" w:rsidP="006644B0">
      <w:pPr>
        <w:pBdr>
          <w:top w:val="nil"/>
          <w:left w:val="nil"/>
          <w:bottom w:val="nil"/>
          <w:right w:val="nil"/>
          <w:between w:val="nil"/>
        </w:pBdr>
        <w:spacing w:line="276" w:lineRule="auto"/>
        <w:ind w:left="720" w:hanging="720"/>
        <w:rPr>
          <w:rFonts w:asciiTheme="majorHAnsi" w:hAnsiTheme="majorHAnsi" w:cstheme="majorHAnsi"/>
          <w:color w:val="000000"/>
          <w:sz w:val="22"/>
          <w:szCs w:val="22"/>
          <w:highlight w:val="white"/>
        </w:rPr>
      </w:pPr>
    </w:p>
    <w:p w14:paraId="00000053" w14:textId="1E89888C" w:rsidR="001D64D0" w:rsidRPr="002D087D" w:rsidRDefault="009245D5" w:rsidP="006644B0">
      <w:pPr>
        <w:spacing w:line="276" w:lineRule="auto"/>
        <w:rPr>
          <w:rFonts w:asciiTheme="majorHAnsi" w:hAnsiTheme="majorHAnsi" w:cstheme="majorHAnsi"/>
          <w:color w:val="000000"/>
          <w:sz w:val="22"/>
          <w:szCs w:val="22"/>
          <w:highlight w:val="white"/>
        </w:rPr>
      </w:pPr>
      <w:r w:rsidRPr="006644B0">
        <w:rPr>
          <w:rFonts w:asciiTheme="majorHAnsi" w:hAnsiTheme="majorHAnsi" w:cstheme="majorHAnsi"/>
          <w:color w:val="000000"/>
          <w:sz w:val="22"/>
          <w:szCs w:val="22"/>
        </w:rPr>
        <w:t xml:space="preserve">International financial institutions recognise the importance of transparency not only in improving accountability to shareholders and citizens, but in helping to avoid and manage risk. According </w:t>
      </w:r>
      <w:proofErr w:type="gramStart"/>
      <w:r w:rsidRPr="006644B0">
        <w:rPr>
          <w:rFonts w:asciiTheme="majorHAnsi" w:hAnsiTheme="majorHAnsi" w:cstheme="majorHAnsi"/>
          <w:color w:val="000000"/>
          <w:sz w:val="22"/>
          <w:szCs w:val="22"/>
        </w:rPr>
        <w:t>to  President</w:t>
      </w:r>
      <w:proofErr w:type="gramEnd"/>
      <w:r w:rsidRPr="006644B0">
        <w:rPr>
          <w:rFonts w:asciiTheme="majorHAnsi" w:hAnsiTheme="majorHAnsi" w:cstheme="majorHAnsi"/>
          <w:color w:val="000000"/>
          <w:sz w:val="22"/>
          <w:szCs w:val="22"/>
        </w:rPr>
        <w:t xml:space="preserve"> </w:t>
      </w:r>
      <w:proofErr w:type="spellStart"/>
      <w:r w:rsidRPr="006644B0">
        <w:rPr>
          <w:rFonts w:asciiTheme="majorHAnsi" w:hAnsiTheme="majorHAnsi" w:cstheme="majorHAnsi"/>
          <w:color w:val="000000"/>
          <w:sz w:val="22"/>
          <w:szCs w:val="22"/>
        </w:rPr>
        <w:t>Jin</w:t>
      </w:r>
      <w:proofErr w:type="spellEnd"/>
      <w:r w:rsidRPr="006644B0">
        <w:rPr>
          <w:rFonts w:asciiTheme="majorHAnsi" w:hAnsiTheme="majorHAnsi" w:cstheme="majorHAnsi"/>
          <w:color w:val="000000"/>
          <w:sz w:val="22"/>
          <w:szCs w:val="22"/>
        </w:rPr>
        <w:t xml:space="preserve">, </w:t>
      </w:r>
      <w:r w:rsidRPr="006644B0">
        <w:rPr>
          <w:rFonts w:asciiTheme="majorHAnsi" w:hAnsiTheme="majorHAnsi" w:cstheme="majorHAnsi"/>
          <w:color w:val="000000"/>
          <w:sz w:val="22"/>
          <w:szCs w:val="22"/>
          <w:highlight w:val="white"/>
        </w:rPr>
        <w:t>"Transparency and accountability are the two main pillars of AIIB’s governance."</w:t>
      </w:r>
      <w:r w:rsidR="002D087D">
        <w:rPr>
          <w:rFonts w:asciiTheme="majorHAnsi" w:hAnsiTheme="majorHAnsi" w:cstheme="majorHAnsi"/>
          <w:color w:val="000000"/>
          <w:sz w:val="22"/>
          <w:szCs w:val="22"/>
        </w:rPr>
        <w:t xml:space="preserve"> </w:t>
      </w:r>
      <w:r w:rsidRPr="006644B0">
        <w:rPr>
          <w:rFonts w:asciiTheme="majorHAnsi" w:hAnsiTheme="majorHAnsi" w:cstheme="majorHAnsi"/>
          <w:color w:val="000000"/>
          <w:sz w:val="22"/>
          <w:szCs w:val="22"/>
        </w:rPr>
        <w:t>Transparency has been a particular challenge in financial intermediary lending, given the longer chain from investor to project; conversely, transparency is all the more important in this type of lending given its higher risk profile. When risks are spotted early on, they are more easily avoided or mitigated, leading to better project outcomes and lower reputational risk.</w:t>
      </w:r>
    </w:p>
    <w:p w14:paraId="00000054" w14:textId="77777777" w:rsidR="001D64D0" w:rsidRPr="006644B0" w:rsidRDefault="001D64D0" w:rsidP="006644B0">
      <w:pPr>
        <w:spacing w:line="276" w:lineRule="auto"/>
        <w:rPr>
          <w:rFonts w:asciiTheme="majorHAnsi" w:hAnsiTheme="majorHAnsi" w:cstheme="majorHAnsi"/>
          <w:color w:val="000000"/>
          <w:sz w:val="22"/>
          <w:szCs w:val="22"/>
        </w:rPr>
      </w:pPr>
    </w:p>
    <w:p w14:paraId="00000055" w14:textId="77777777" w:rsidR="001D64D0" w:rsidRPr="006644B0" w:rsidRDefault="009245D5" w:rsidP="006644B0">
      <w:pPr>
        <w:spacing w:line="276" w:lineRule="auto"/>
        <w:rPr>
          <w:rFonts w:asciiTheme="majorHAnsi" w:hAnsiTheme="majorHAnsi" w:cstheme="majorHAnsi"/>
          <w:b/>
          <w:color w:val="000000"/>
          <w:sz w:val="22"/>
          <w:szCs w:val="22"/>
        </w:rPr>
      </w:pPr>
      <w:r w:rsidRPr="006644B0">
        <w:rPr>
          <w:rFonts w:asciiTheme="majorHAnsi" w:hAnsiTheme="majorHAnsi" w:cstheme="majorHAnsi"/>
          <w:b/>
          <w:color w:val="000000"/>
          <w:sz w:val="22"/>
          <w:szCs w:val="22"/>
        </w:rPr>
        <w:t>The Green Climate Fund</w:t>
      </w:r>
    </w:p>
    <w:p w14:paraId="00000056" w14:textId="77777777" w:rsidR="001D64D0" w:rsidRPr="006644B0" w:rsidRDefault="009245D5" w:rsidP="006644B0">
      <w:pP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The Green Climate Fund (GCF) is a highly relevant institution for the purposes of comparison with the AIIB’s </w:t>
      </w:r>
      <w:r w:rsidRPr="006644B0">
        <w:rPr>
          <w:rFonts w:asciiTheme="majorHAnsi" w:hAnsiTheme="majorHAnsi" w:cstheme="majorHAnsi"/>
          <w:sz w:val="22"/>
          <w:szCs w:val="22"/>
        </w:rPr>
        <w:t>FI</w:t>
      </w:r>
      <w:r w:rsidRPr="006644B0">
        <w:rPr>
          <w:rFonts w:asciiTheme="majorHAnsi" w:hAnsiTheme="majorHAnsi" w:cstheme="majorHAnsi"/>
          <w:color w:val="000000"/>
          <w:sz w:val="22"/>
          <w:szCs w:val="22"/>
        </w:rPr>
        <w:t xml:space="preserve"> lending, since 100 per cent of its lending is carried out through intermediaries (or as the GCF calls them ‘Accredited Entities’). The GCF has adopted a high degree of disclosure in line with international best practice, including time-bound disclosure of crucial project information – such as environmental and social impact assessments – ahead of approval. The degree and timing of disclosure is calibrated according to the risk profile of the investment: with more and better disclosure for the highest risk (Category A). The following excerpts from its 2016 Information Disclosure Policy describe the degree of disclosure:</w:t>
      </w:r>
    </w:p>
    <w:p w14:paraId="00000057" w14:textId="77777777" w:rsidR="001D64D0" w:rsidRPr="006644B0" w:rsidRDefault="001D64D0" w:rsidP="006644B0">
      <w:pPr>
        <w:pBdr>
          <w:top w:val="nil"/>
          <w:left w:val="nil"/>
          <w:bottom w:val="nil"/>
          <w:right w:val="nil"/>
          <w:between w:val="nil"/>
        </w:pBdr>
        <w:spacing w:line="276" w:lineRule="auto"/>
        <w:rPr>
          <w:rFonts w:asciiTheme="majorHAnsi" w:hAnsiTheme="majorHAnsi" w:cstheme="majorHAnsi"/>
          <w:color w:val="000000"/>
          <w:sz w:val="22"/>
          <w:szCs w:val="22"/>
        </w:rPr>
      </w:pPr>
    </w:p>
    <w:p w14:paraId="00000058" w14:textId="77777777" w:rsidR="001D64D0" w:rsidRPr="006644B0" w:rsidRDefault="009245D5" w:rsidP="006644B0">
      <w:pPr>
        <w:numPr>
          <w:ilvl w:val="2"/>
          <w:numId w:val="1"/>
        </w:numPr>
        <w:pBdr>
          <w:top w:val="nil"/>
          <w:left w:val="nil"/>
          <w:bottom w:val="nil"/>
          <w:right w:val="nil"/>
          <w:between w:val="nil"/>
        </w:pBdr>
        <w:spacing w:after="176" w:line="276" w:lineRule="auto"/>
        <w:ind w:left="360"/>
        <w:rPr>
          <w:rFonts w:asciiTheme="majorHAnsi" w:hAnsiTheme="majorHAnsi" w:cstheme="majorHAnsi"/>
          <w:color w:val="000000"/>
          <w:sz w:val="22"/>
          <w:szCs w:val="22"/>
        </w:rPr>
      </w:pPr>
      <w:r w:rsidRPr="006644B0">
        <w:rPr>
          <w:rFonts w:asciiTheme="majorHAnsi" w:hAnsiTheme="majorHAnsi" w:cstheme="majorHAnsi"/>
          <w:b/>
          <w:color w:val="000000"/>
          <w:sz w:val="22"/>
          <w:szCs w:val="22"/>
        </w:rPr>
        <w:t xml:space="preserve">“Environmental and social reports. </w:t>
      </w:r>
      <w:r w:rsidRPr="006644B0">
        <w:rPr>
          <w:rFonts w:asciiTheme="majorHAnsi" w:hAnsiTheme="majorHAnsi" w:cstheme="majorHAnsi"/>
          <w:color w:val="000000"/>
          <w:sz w:val="22"/>
          <w:szCs w:val="22"/>
        </w:rPr>
        <w:t xml:space="preserve">With respect to project and programme funding proposals that have an environmental or social impact, the Accredited Entities (AE’s) shall disclose and announce to the public and, via the Secretariat, to the Board and Active Observers: </w:t>
      </w:r>
    </w:p>
    <w:p w14:paraId="00000059" w14:textId="77777777" w:rsidR="001D64D0" w:rsidRPr="006644B0" w:rsidRDefault="009245D5" w:rsidP="006644B0">
      <w:pPr>
        <w:numPr>
          <w:ilvl w:val="2"/>
          <w:numId w:val="1"/>
        </w:numPr>
        <w:pBdr>
          <w:top w:val="nil"/>
          <w:left w:val="nil"/>
          <w:bottom w:val="nil"/>
          <w:right w:val="nil"/>
          <w:between w:val="nil"/>
        </w:pBdr>
        <w:spacing w:after="176" w:line="276" w:lineRule="auto"/>
        <w:ind w:left="360"/>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(a) in case of Category A projects, the Environmental and Social Impacts Assessment (ESIA) and an Environmental and Social Management Plan (ESMP) at least 120 days in advance of the AE’s or GCF’s Board decision, whichever is earlier; </w:t>
      </w:r>
    </w:p>
    <w:p w14:paraId="0000005A" w14:textId="77777777" w:rsidR="001D64D0" w:rsidRPr="006644B0" w:rsidRDefault="009245D5" w:rsidP="006644B0">
      <w:pPr>
        <w:numPr>
          <w:ilvl w:val="2"/>
          <w:numId w:val="1"/>
        </w:numPr>
        <w:pBdr>
          <w:top w:val="nil"/>
          <w:left w:val="nil"/>
          <w:bottom w:val="nil"/>
          <w:right w:val="nil"/>
          <w:between w:val="nil"/>
        </w:pBdr>
        <w:spacing w:after="176" w:line="276" w:lineRule="auto"/>
        <w:ind w:left="360"/>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“(b) in the case of Category I-1 programmes, the Environmental and Social Management System (ESMS)2 at least 120 days in advance of the AE’s or GCF’s Board decision, whichever is earlier; </w:t>
      </w:r>
    </w:p>
    <w:p w14:paraId="0000005B" w14:textId="77777777" w:rsidR="001D64D0" w:rsidRPr="006644B0" w:rsidRDefault="009245D5" w:rsidP="006644B0">
      <w:pPr>
        <w:numPr>
          <w:ilvl w:val="2"/>
          <w:numId w:val="1"/>
        </w:numPr>
        <w:pBdr>
          <w:top w:val="nil"/>
          <w:left w:val="nil"/>
          <w:bottom w:val="nil"/>
          <w:right w:val="nil"/>
          <w:between w:val="nil"/>
        </w:pBdr>
        <w:spacing w:after="176" w:line="276" w:lineRule="auto"/>
        <w:ind w:left="360"/>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“(c) in the case of Category B projects, the ESIA3 and an Environmental and Social Management Plan (ESMP)4 at least 30 days in advance of the AE’s or GCF’s Board decision, whichever is earlier; and </w:t>
      </w:r>
    </w:p>
    <w:p w14:paraId="0000005C" w14:textId="77777777" w:rsidR="001D64D0" w:rsidRPr="006644B0" w:rsidRDefault="009245D5" w:rsidP="006644B0">
      <w:pPr>
        <w:numPr>
          <w:ilvl w:val="2"/>
          <w:numId w:val="1"/>
        </w:numPr>
        <w:pBdr>
          <w:top w:val="nil"/>
          <w:left w:val="nil"/>
          <w:bottom w:val="nil"/>
          <w:right w:val="nil"/>
          <w:between w:val="nil"/>
        </w:pBdr>
        <w:spacing w:line="276" w:lineRule="auto"/>
        <w:ind w:left="360"/>
        <w:rPr>
          <w:rFonts w:asciiTheme="majorHAnsi" w:hAnsiTheme="majorHAnsi" w:cstheme="majorHAnsi"/>
          <w:color w:val="000000"/>
          <w:sz w:val="22"/>
          <w:szCs w:val="22"/>
        </w:rPr>
      </w:pPr>
      <w:r w:rsidRPr="006644B0">
        <w:rPr>
          <w:rFonts w:asciiTheme="majorHAnsi" w:hAnsiTheme="majorHAnsi" w:cstheme="majorHAnsi"/>
          <w:color w:val="000000"/>
          <w:sz w:val="22"/>
          <w:szCs w:val="22"/>
        </w:rPr>
        <w:lastRenderedPageBreak/>
        <w:t xml:space="preserve">“(d) in the case of Category I-2 programmes, the ESMS at least 30 days in advance of the AE’s or GCF’s Board decision, whichever is earlier.” </w:t>
      </w:r>
    </w:p>
    <w:p w14:paraId="0000005D" w14:textId="77777777" w:rsidR="001D64D0" w:rsidRPr="006644B0" w:rsidRDefault="001D64D0" w:rsidP="006644B0">
      <w:pPr>
        <w:spacing w:line="276" w:lineRule="auto"/>
        <w:rPr>
          <w:rFonts w:asciiTheme="majorHAnsi" w:hAnsiTheme="majorHAnsi" w:cstheme="majorHAnsi"/>
          <w:color w:val="000000"/>
          <w:sz w:val="22"/>
          <w:szCs w:val="22"/>
        </w:rPr>
      </w:pPr>
    </w:p>
    <w:p w14:paraId="0000005E" w14:textId="77777777" w:rsidR="001D64D0" w:rsidRPr="006644B0" w:rsidRDefault="009245D5" w:rsidP="006644B0">
      <w:pP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The GCF expects its conditions to be met when working with other multilaterals, raising the possibility of the AIIB being obliged to improve disclosure if it works with the GCF. For example, in the case of the GCF’s involvement with the European Bank for Reconstruction and Development’s Green Cities Project, the GCF’s Board stipulated additional conditions:</w:t>
      </w:r>
    </w:p>
    <w:p w14:paraId="0000005F" w14:textId="77777777" w:rsidR="001D64D0" w:rsidRPr="006644B0" w:rsidRDefault="001D64D0" w:rsidP="006644B0">
      <w:pPr>
        <w:spacing w:line="276" w:lineRule="auto"/>
        <w:rPr>
          <w:rFonts w:asciiTheme="majorHAnsi" w:hAnsiTheme="majorHAnsi" w:cstheme="majorHAnsi"/>
          <w:color w:val="000000"/>
          <w:sz w:val="22"/>
          <w:szCs w:val="22"/>
        </w:rPr>
      </w:pPr>
    </w:p>
    <w:p w14:paraId="00000060" w14:textId="77777777" w:rsidR="001D64D0" w:rsidRPr="006644B0" w:rsidRDefault="009245D5" w:rsidP="006644B0">
      <w:pPr>
        <w:spacing w:line="276" w:lineRule="auto"/>
        <w:ind w:left="720"/>
        <w:rPr>
          <w:rFonts w:asciiTheme="majorHAnsi" w:hAnsiTheme="majorHAnsi" w:cstheme="majorHAnsi"/>
          <w:color w:val="000000"/>
          <w:sz w:val="22"/>
          <w:szCs w:val="22"/>
        </w:rPr>
      </w:pPr>
      <w:r w:rsidRPr="006644B0">
        <w:rPr>
          <w:rFonts w:asciiTheme="majorHAnsi" w:hAnsiTheme="majorHAnsi" w:cstheme="majorHAnsi"/>
          <w:color w:val="000000"/>
          <w:sz w:val="22"/>
          <w:szCs w:val="22"/>
        </w:rPr>
        <w:t>“In relation to each Category A public sector sub-project to be funded under the Facility, the Accredited Entity shall disclose the Project Summary Document, Environmental and Social Impacts Assessment (ESIA) and Environmental and Social Action Plan (ESAP), and, as appropriate, inclusive of the Resettlement Policy Framework (RPF) and/or Land Acquisition and/or Resettlement Action Plan (LARAP or RAP), and any other associated information required to be disclosed in accordance with the Accredited Entity’s Public Information Policy (“Project Disclosure Package”). The Accredited Entity, 120 calendar days in advance of its Board meeting, shall disclose, in English and the local language (if not English), the Project Disclosure Package on its website and shall require that the Borrower does so in locations convenient to affected peoples, and provide the Project Disclosure Package to the GCF Secretariat for further distribution to the Board and Active Observers and for posting on the GCF website.”</w:t>
      </w:r>
      <w:r w:rsidRPr="006644B0">
        <w:rPr>
          <w:rFonts w:asciiTheme="majorHAnsi" w:hAnsiTheme="majorHAnsi" w:cstheme="majorHAnsi"/>
          <w:color w:val="000000"/>
          <w:sz w:val="22"/>
          <w:szCs w:val="22"/>
          <w:vertAlign w:val="superscript"/>
        </w:rPr>
        <w:footnoteReference w:id="6"/>
      </w:r>
      <w:r w:rsidRPr="006644B0">
        <w:rPr>
          <w:rFonts w:asciiTheme="majorHAnsi" w:hAnsiTheme="majorHAnsi" w:cstheme="majorHAnsi"/>
          <w:color w:val="000000"/>
          <w:sz w:val="22"/>
          <w:szCs w:val="22"/>
        </w:rPr>
        <w:t xml:space="preserve"> </w:t>
      </w:r>
    </w:p>
    <w:p w14:paraId="00000061" w14:textId="77777777" w:rsidR="001D64D0" w:rsidRPr="006644B0" w:rsidRDefault="001D64D0" w:rsidP="006644B0">
      <w:pPr>
        <w:spacing w:line="276" w:lineRule="auto"/>
        <w:rPr>
          <w:rFonts w:asciiTheme="majorHAnsi" w:hAnsiTheme="majorHAnsi" w:cstheme="majorHAnsi"/>
          <w:color w:val="000000"/>
          <w:sz w:val="22"/>
          <w:szCs w:val="22"/>
        </w:rPr>
      </w:pPr>
    </w:p>
    <w:p w14:paraId="00000062" w14:textId="77777777" w:rsidR="001D64D0" w:rsidRPr="006644B0" w:rsidRDefault="009245D5" w:rsidP="006644B0">
      <w:pPr>
        <w:spacing w:line="276" w:lineRule="auto"/>
        <w:rPr>
          <w:rFonts w:asciiTheme="majorHAnsi" w:hAnsiTheme="majorHAnsi" w:cstheme="majorHAnsi"/>
          <w:b/>
          <w:color w:val="000000"/>
          <w:sz w:val="22"/>
          <w:szCs w:val="22"/>
        </w:rPr>
      </w:pPr>
      <w:r w:rsidRPr="006644B0">
        <w:rPr>
          <w:rFonts w:asciiTheme="majorHAnsi" w:hAnsiTheme="majorHAnsi" w:cstheme="majorHAnsi"/>
          <w:b/>
          <w:color w:val="000000"/>
          <w:sz w:val="22"/>
          <w:szCs w:val="22"/>
        </w:rPr>
        <w:t>The World Bank</w:t>
      </w:r>
    </w:p>
    <w:p w14:paraId="00000063" w14:textId="6F60EA8F" w:rsidR="001D64D0" w:rsidRPr="006644B0" w:rsidRDefault="009245D5" w:rsidP="006644B0">
      <w:pP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The World Bank invests in </w:t>
      </w:r>
      <w:r w:rsidRPr="006644B0">
        <w:rPr>
          <w:rFonts w:asciiTheme="majorHAnsi" w:hAnsiTheme="majorHAnsi" w:cstheme="majorHAnsi"/>
          <w:sz w:val="22"/>
          <w:szCs w:val="22"/>
        </w:rPr>
        <w:t>FIs</w:t>
      </w:r>
      <w:r w:rsidRPr="006644B0">
        <w:rPr>
          <w:rFonts w:asciiTheme="majorHAnsi" w:hAnsiTheme="majorHAnsi" w:cstheme="majorHAnsi"/>
          <w:color w:val="000000"/>
          <w:sz w:val="22"/>
          <w:szCs w:val="22"/>
        </w:rPr>
        <w:t xml:space="preserve"> and requires and practices a </w:t>
      </w:r>
      <w:r w:rsidR="00CD4C6D">
        <w:rPr>
          <w:rFonts w:asciiTheme="majorHAnsi" w:hAnsiTheme="majorHAnsi" w:cstheme="majorHAnsi"/>
          <w:color w:val="000000"/>
          <w:sz w:val="22"/>
          <w:szCs w:val="22"/>
        </w:rPr>
        <w:t>high</w:t>
      </w:r>
      <w:r w:rsidRPr="006644B0">
        <w:rPr>
          <w:rFonts w:asciiTheme="majorHAnsi" w:hAnsiTheme="majorHAnsi" w:cstheme="majorHAnsi"/>
          <w:color w:val="000000"/>
          <w:sz w:val="22"/>
          <w:szCs w:val="22"/>
        </w:rPr>
        <w:t xml:space="preserve"> degree of disclosure</w:t>
      </w:r>
      <w:r w:rsidR="00CD4C6D">
        <w:rPr>
          <w:rFonts w:asciiTheme="majorHAnsi" w:hAnsiTheme="majorHAnsi" w:cstheme="majorHAnsi"/>
          <w:color w:val="000000"/>
          <w:sz w:val="22"/>
          <w:szCs w:val="22"/>
        </w:rPr>
        <w:t>,</w:t>
      </w:r>
      <w:r w:rsidRPr="006644B0">
        <w:rPr>
          <w:rFonts w:asciiTheme="majorHAnsi" w:hAnsiTheme="majorHAnsi" w:cstheme="majorHAnsi"/>
          <w:color w:val="000000"/>
          <w:sz w:val="22"/>
          <w:szCs w:val="22"/>
        </w:rPr>
        <w:t xml:space="preserve"> including of sub-projects supported through commercial banks. Under the disclosure clause of the World Bank’s 2013 Operational Procedure BP 4.03, </w:t>
      </w:r>
      <w:r w:rsidRPr="006644B0">
        <w:rPr>
          <w:rFonts w:asciiTheme="majorHAnsi" w:hAnsiTheme="majorHAnsi" w:cstheme="majorHAnsi"/>
          <w:color w:val="000000"/>
          <w:sz w:val="22"/>
          <w:szCs w:val="22"/>
          <w:vertAlign w:val="superscript"/>
        </w:rPr>
        <w:t> </w:t>
      </w:r>
      <w:r w:rsidRPr="006644B0">
        <w:rPr>
          <w:rFonts w:asciiTheme="majorHAnsi" w:hAnsiTheme="majorHAnsi" w:cstheme="majorHAnsi"/>
          <w:color w:val="000000"/>
          <w:sz w:val="22"/>
          <w:szCs w:val="22"/>
        </w:rPr>
        <w:t xml:space="preserve">the World Bank requires its </w:t>
      </w:r>
      <w:r w:rsidRPr="006644B0">
        <w:rPr>
          <w:rFonts w:asciiTheme="majorHAnsi" w:hAnsiTheme="majorHAnsi" w:cstheme="majorHAnsi"/>
          <w:sz w:val="22"/>
          <w:szCs w:val="22"/>
        </w:rPr>
        <w:t>FI</w:t>
      </w:r>
      <w:r w:rsidRPr="006644B0">
        <w:rPr>
          <w:rFonts w:asciiTheme="majorHAnsi" w:hAnsiTheme="majorHAnsi" w:cstheme="majorHAnsi"/>
          <w:color w:val="000000"/>
          <w:sz w:val="22"/>
          <w:szCs w:val="22"/>
        </w:rPr>
        <w:t xml:space="preserve"> clients to disclose a</w:t>
      </w:r>
      <w:r w:rsidRPr="006644B0">
        <w:rPr>
          <w:rFonts w:asciiTheme="majorHAnsi" w:hAnsiTheme="majorHAnsi" w:cstheme="majorHAnsi"/>
          <w:sz w:val="22"/>
          <w:szCs w:val="22"/>
        </w:rPr>
        <w:t>s well as</w:t>
      </w:r>
      <w:r w:rsidRPr="006644B0">
        <w:rPr>
          <w:rFonts w:asciiTheme="majorHAnsi" w:hAnsiTheme="majorHAnsi" w:cstheme="majorHAnsi"/>
          <w:color w:val="000000"/>
          <w:sz w:val="22"/>
          <w:szCs w:val="22"/>
        </w:rPr>
        <w:t xml:space="preserve"> permit, in writing, the World Bank to disclose the summary of the Environmental and Social Impact Assessment (ESIA) of any sub-project considered high risk (Category FI-1 and FI-2). In practice, however, the World Bank seems to go beyond summaries by disclosing full reports of impact assessments, mitigation, and resettlement plans.</w:t>
      </w:r>
      <w:r w:rsidRPr="006644B0">
        <w:rPr>
          <w:rFonts w:asciiTheme="majorHAnsi" w:hAnsiTheme="majorHAnsi" w:cstheme="majorHAnsi"/>
          <w:color w:val="000000"/>
          <w:sz w:val="22"/>
          <w:szCs w:val="22"/>
          <w:vertAlign w:val="superscript"/>
        </w:rPr>
        <w:footnoteReference w:id="7"/>
      </w:r>
      <w:r w:rsidRPr="006644B0">
        <w:rPr>
          <w:rFonts w:asciiTheme="majorHAnsi" w:hAnsiTheme="majorHAnsi" w:cstheme="majorHAnsi"/>
          <w:color w:val="000000"/>
          <w:sz w:val="22"/>
          <w:szCs w:val="22"/>
        </w:rPr>
        <w:t xml:space="preserve"> </w:t>
      </w:r>
    </w:p>
    <w:p w14:paraId="00000064" w14:textId="77777777" w:rsidR="001D64D0" w:rsidRPr="006644B0" w:rsidRDefault="001D64D0" w:rsidP="006644B0">
      <w:pPr>
        <w:spacing w:line="276" w:lineRule="auto"/>
        <w:rPr>
          <w:rFonts w:asciiTheme="majorHAnsi" w:hAnsiTheme="majorHAnsi" w:cstheme="majorHAnsi"/>
          <w:color w:val="000000"/>
          <w:sz w:val="22"/>
          <w:szCs w:val="22"/>
        </w:rPr>
      </w:pPr>
    </w:p>
    <w:p w14:paraId="00000065" w14:textId="77777777" w:rsidR="001D64D0" w:rsidRPr="006644B0" w:rsidRDefault="009245D5" w:rsidP="006644B0">
      <w:pP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Examples include the World Bank’s investments in Turkish banks, TKB and TSKB, for which the World Bank disclosed 208 documents relating to the investments and their sub projects.</w:t>
      </w:r>
    </w:p>
    <w:p w14:paraId="00000066" w14:textId="77777777" w:rsidR="001D64D0" w:rsidRPr="006644B0" w:rsidRDefault="001D64D0" w:rsidP="006644B0">
      <w:pPr>
        <w:spacing w:line="276" w:lineRule="auto"/>
        <w:rPr>
          <w:rFonts w:asciiTheme="majorHAnsi" w:hAnsiTheme="majorHAnsi" w:cstheme="majorHAnsi"/>
          <w:b/>
          <w:color w:val="000000"/>
          <w:sz w:val="22"/>
          <w:szCs w:val="22"/>
        </w:rPr>
      </w:pPr>
    </w:p>
    <w:p w14:paraId="00000067" w14:textId="77777777" w:rsidR="001D64D0" w:rsidRPr="006644B0" w:rsidRDefault="009245D5" w:rsidP="006644B0">
      <w:pPr>
        <w:spacing w:line="276" w:lineRule="auto"/>
        <w:rPr>
          <w:rFonts w:asciiTheme="majorHAnsi" w:hAnsiTheme="majorHAnsi" w:cstheme="majorHAnsi"/>
          <w:b/>
          <w:color w:val="000000"/>
          <w:sz w:val="22"/>
          <w:szCs w:val="22"/>
        </w:rPr>
      </w:pPr>
      <w:r w:rsidRPr="006644B0">
        <w:rPr>
          <w:rFonts w:asciiTheme="majorHAnsi" w:hAnsiTheme="majorHAnsi" w:cstheme="majorHAnsi"/>
          <w:b/>
          <w:color w:val="000000"/>
          <w:sz w:val="22"/>
          <w:szCs w:val="22"/>
        </w:rPr>
        <w:t>The International Finance Corporation</w:t>
      </w:r>
    </w:p>
    <w:p w14:paraId="00000068" w14:textId="77777777" w:rsidR="001D64D0" w:rsidRPr="006644B0" w:rsidRDefault="009245D5" w:rsidP="006644B0">
      <w:pPr>
        <w:spacing w:line="276" w:lineRule="auto"/>
        <w:rPr>
          <w:rFonts w:asciiTheme="majorHAnsi" w:hAnsiTheme="majorHAnsi" w:cstheme="majorHAnsi"/>
          <w:b/>
          <w:color w:val="000000"/>
          <w:sz w:val="22"/>
          <w:szCs w:val="22"/>
        </w:rPr>
      </w:pPr>
      <w:r w:rsidRPr="006644B0">
        <w:rPr>
          <w:rFonts w:asciiTheme="majorHAnsi" w:hAnsiTheme="majorHAnsi" w:cstheme="majorHAnsi"/>
          <w:color w:val="000000"/>
          <w:sz w:val="22"/>
          <w:szCs w:val="22"/>
        </w:rPr>
        <w:t>The International Finance Corporation (IFC) discloses different information depend</w:t>
      </w:r>
      <w:r w:rsidRPr="006644B0">
        <w:rPr>
          <w:rFonts w:asciiTheme="majorHAnsi" w:hAnsiTheme="majorHAnsi" w:cstheme="majorHAnsi"/>
          <w:sz w:val="22"/>
          <w:szCs w:val="22"/>
        </w:rPr>
        <w:t>ing</w:t>
      </w:r>
      <w:r w:rsidRPr="006644B0">
        <w:rPr>
          <w:rFonts w:asciiTheme="majorHAnsi" w:hAnsiTheme="majorHAnsi" w:cstheme="majorHAnsi"/>
          <w:color w:val="000000"/>
          <w:sz w:val="22"/>
          <w:szCs w:val="22"/>
        </w:rPr>
        <w:t xml:space="preserve"> on the type of FI client. It has made several significant reforms over the past five years, largely in response to civil society pressure and a number of highly-damaging cases.</w:t>
      </w:r>
      <w:r w:rsidRPr="006644B0">
        <w:rPr>
          <w:rFonts w:asciiTheme="majorHAnsi" w:hAnsiTheme="majorHAnsi" w:cstheme="majorHAnsi"/>
          <w:color w:val="000000"/>
          <w:sz w:val="22"/>
          <w:szCs w:val="22"/>
          <w:vertAlign w:val="superscript"/>
        </w:rPr>
        <w:footnoteReference w:id="8"/>
      </w:r>
    </w:p>
    <w:p w14:paraId="00000069" w14:textId="77777777" w:rsidR="001D64D0" w:rsidRPr="006644B0" w:rsidRDefault="001D64D0" w:rsidP="006644B0">
      <w:pPr>
        <w:spacing w:line="276" w:lineRule="auto"/>
        <w:rPr>
          <w:rFonts w:asciiTheme="majorHAnsi" w:hAnsiTheme="majorHAnsi" w:cstheme="majorHAnsi"/>
          <w:color w:val="000000"/>
          <w:sz w:val="22"/>
          <w:szCs w:val="22"/>
        </w:rPr>
      </w:pPr>
    </w:p>
    <w:p w14:paraId="0000006A" w14:textId="77777777" w:rsidR="001D64D0" w:rsidRPr="006644B0" w:rsidRDefault="009245D5" w:rsidP="006644B0">
      <w:pP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For </w:t>
      </w:r>
      <w:r w:rsidRPr="006644B0">
        <w:rPr>
          <w:rFonts w:asciiTheme="majorHAnsi" w:hAnsiTheme="majorHAnsi" w:cstheme="majorHAnsi"/>
          <w:b/>
          <w:color w:val="000000"/>
          <w:sz w:val="22"/>
          <w:szCs w:val="22"/>
        </w:rPr>
        <w:t xml:space="preserve">private equity fund clients: </w:t>
      </w:r>
      <w:r w:rsidRPr="006644B0">
        <w:rPr>
          <w:rFonts w:asciiTheme="majorHAnsi" w:hAnsiTheme="majorHAnsi" w:cstheme="majorHAnsi"/>
          <w:color w:val="000000"/>
          <w:sz w:val="22"/>
          <w:szCs w:val="22"/>
        </w:rPr>
        <w:t>in its 2012 Performance Standards, IFC committed to “periodically disclose a listing of the names, locations and sectors of high-risk sub-projects that have been supported by IFC investments through private equity funds, subject to regulatory constraints and market sensitivities.” This was updated in 2015 when in response to pressure from civil society, IFC started to disclose all sub projects supported via its private equity fund clients, stating: “with input from CSOs and other stakeholders, we have improved transparency by now disclosing all private equity fund sub-projects.”</w:t>
      </w:r>
      <w:r w:rsidRPr="006644B0">
        <w:rPr>
          <w:rFonts w:asciiTheme="majorHAnsi" w:hAnsiTheme="majorHAnsi" w:cstheme="majorHAnsi"/>
          <w:color w:val="000000"/>
          <w:sz w:val="22"/>
          <w:szCs w:val="22"/>
          <w:vertAlign w:val="superscript"/>
        </w:rPr>
        <w:footnoteReference w:id="9"/>
      </w:r>
      <w:r w:rsidRPr="006644B0">
        <w:rPr>
          <w:rFonts w:asciiTheme="majorHAnsi" w:hAnsiTheme="majorHAnsi" w:cstheme="majorHAnsi"/>
          <w:color w:val="000000"/>
          <w:sz w:val="22"/>
          <w:szCs w:val="22"/>
        </w:rPr>
        <w:t xml:space="preserve"> In 2017, the IFC applied this new rule retrospectively to all PE fund clients since 2012: “</w:t>
      </w:r>
      <w:r w:rsidRPr="006644B0">
        <w:rPr>
          <w:rFonts w:asciiTheme="majorHAnsi" w:hAnsiTheme="majorHAnsi" w:cstheme="majorHAnsi"/>
          <w:color w:val="000000"/>
          <w:sz w:val="22"/>
          <w:szCs w:val="22"/>
          <w:highlight w:val="white"/>
        </w:rPr>
        <w:t>We publish the name, sector and location of every investment of our funds’ portfolio companies. In 2017, IFC fulfilled 100 percent of this requirement for the 63 fund investments initiated since 2012, and published information on more than 387 funds’ portfolio companies.”</w:t>
      </w:r>
      <w:r w:rsidRPr="006644B0">
        <w:rPr>
          <w:rFonts w:asciiTheme="majorHAnsi" w:hAnsiTheme="majorHAnsi" w:cstheme="majorHAnsi"/>
          <w:color w:val="000000"/>
          <w:sz w:val="22"/>
          <w:szCs w:val="22"/>
          <w:highlight w:val="white"/>
          <w:vertAlign w:val="superscript"/>
        </w:rPr>
        <w:footnoteReference w:id="10"/>
      </w:r>
    </w:p>
    <w:p w14:paraId="0000006B" w14:textId="77777777" w:rsidR="001D64D0" w:rsidRPr="006644B0" w:rsidRDefault="001D64D0" w:rsidP="006644B0">
      <w:pPr>
        <w:spacing w:line="276" w:lineRule="auto"/>
        <w:rPr>
          <w:rFonts w:asciiTheme="majorHAnsi" w:hAnsiTheme="majorHAnsi" w:cstheme="majorHAnsi"/>
          <w:color w:val="000000"/>
          <w:sz w:val="22"/>
          <w:szCs w:val="22"/>
        </w:rPr>
      </w:pPr>
    </w:p>
    <w:p w14:paraId="0000006C" w14:textId="77777777" w:rsidR="001D64D0" w:rsidRPr="006644B0" w:rsidRDefault="009245D5" w:rsidP="006644B0">
      <w:pPr>
        <w:spacing w:line="276" w:lineRule="auto"/>
        <w:rPr>
          <w:rFonts w:asciiTheme="majorHAnsi" w:hAnsiTheme="majorHAnsi" w:cstheme="majorHAnsi"/>
          <w:color w:val="000000"/>
          <w:sz w:val="22"/>
          <w:szCs w:val="22"/>
          <w:highlight w:val="white"/>
        </w:rPr>
      </w:pPr>
      <w:r w:rsidRPr="006644B0">
        <w:rPr>
          <w:rFonts w:asciiTheme="majorHAnsi" w:hAnsiTheme="majorHAnsi" w:cstheme="majorHAnsi"/>
          <w:color w:val="000000"/>
          <w:sz w:val="22"/>
          <w:szCs w:val="22"/>
        </w:rPr>
        <w:t>IFC is in the process of developing a new strategy on disclosure, which will include: “</w:t>
      </w:r>
      <w:r w:rsidRPr="006644B0">
        <w:rPr>
          <w:rFonts w:asciiTheme="majorHAnsi" w:hAnsiTheme="majorHAnsi" w:cstheme="majorHAnsi"/>
          <w:color w:val="000000"/>
          <w:sz w:val="22"/>
          <w:szCs w:val="22"/>
          <w:highlight w:val="white"/>
        </w:rPr>
        <w:t>a voluntary initiative with our financial intermediary clients exposed to high-risk projects for the next two years to promote disclosure of such high-risk sub-projects initiated from IFC lending, including the name, sector, and host country of the project.”</w:t>
      </w:r>
      <w:r w:rsidRPr="006644B0">
        <w:rPr>
          <w:rFonts w:asciiTheme="majorHAnsi" w:hAnsiTheme="majorHAnsi" w:cstheme="majorHAnsi"/>
          <w:color w:val="000000"/>
          <w:sz w:val="22"/>
          <w:szCs w:val="22"/>
          <w:highlight w:val="white"/>
          <w:vertAlign w:val="superscript"/>
        </w:rPr>
        <w:footnoteReference w:id="11"/>
      </w:r>
      <w:r w:rsidRPr="006644B0">
        <w:rPr>
          <w:rFonts w:asciiTheme="majorHAnsi" w:hAnsiTheme="majorHAnsi" w:cstheme="majorHAnsi"/>
          <w:color w:val="000000"/>
          <w:sz w:val="22"/>
          <w:szCs w:val="22"/>
          <w:highlight w:val="white"/>
        </w:rPr>
        <w:t xml:space="preserve"> </w:t>
      </w:r>
    </w:p>
    <w:p w14:paraId="0000006D" w14:textId="77777777" w:rsidR="001D64D0" w:rsidRPr="006644B0" w:rsidRDefault="001D64D0" w:rsidP="006644B0">
      <w:pPr>
        <w:pBdr>
          <w:top w:val="nil"/>
          <w:left w:val="nil"/>
          <w:bottom w:val="nil"/>
          <w:right w:val="nil"/>
          <w:between w:val="nil"/>
        </w:pBdr>
        <w:spacing w:line="276" w:lineRule="auto"/>
        <w:ind w:left="720" w:hanging="720"/>
        <w:jc w:val="both"/>
        <w:rPr>
          <w:rFonts w:asciiTheme="majorHAnsi" w:hAnsiTheme="majorHAnsi" w:cstheme="majorHAnsi"/>
          <w:b/>
          <w:color w:val="000000"/>
          <w:sz w:val="22"/>
          <w:szCs w:val="22"/>
        </w:rPr>
      </w:pPr>
    </w:p>
    <w:p w14:paraId="0000006E" w14:textId="77777777" w:rsidR="001D64D0" w:rsidRPr="006644B0" w:rsidRDefault="009245D5" w:rsidP="006644B0">
      <w:pPr>
        <w:pBdr>
          <w:top w:val="nil"/>
          <w:left w:val="nil"/>
          <w:bottom w:val="nil"/>
          <w:right w:val="nil"/>
          <w:between w:val="nil"/>
        </w:pBdr>
        <w:spacing w:line="276" w:lineRule="auto"/>
        <w:rPr>
          <w:rFonts w:asciiTheme="majorHAnsi" w:hAnsiTheme="majorHAnsi" w:cstheme="majorHAnsi"/>
          <w:color w:val="000000"/>
          <w:sz w:val="22"/>
          <w:szCs w:val="22"/>
        </w:rPr>
      </w:pPr>
      <w:r w:rsidRPr="006644B0">
        <w:rPr>
          <w:rFonts w:asciiTheme="majorHAnsi" w:hAnsiTheme="majorHAnsi" w:cstheme="majorHAnsi"/>
          <w:b/>
          <w:color w:val="000000"/>
          <w:sz w:val="22"/>
          <w:szCs w:val="22"/>
        </w:rPr>
        <w:t xml:space="preserve">Proposal for reform to ESF: </w:t>
      </w:r>
      <w:r w:rsidRPr="006644B0">
        <w:rPr>
          <w:rFonts w:asciiTheme="majorHAnsi" w:hAnsiTheme="majorHAnsi" w:cstheme="majorHAnsi"/>
          <w:color w:val="000000"/>
          <w:sz w:val="22"/>
          <w:szCs w:val="22"/>
        </w:rPr>
        <w:t>The AIIB should adopt an ESF that commits to principles of disclosure and transparency and enshrines best practice, including:</w:t>
      </w:r>
    </w:p>
    <w:p w14:paraId="0000006F" w14:textId="77777777" w:rsidR="001D64D0" w:rsidRPr="006644B0" w:rsidRDefault="001D64D0" w:rsidP="006644B0">
      <w:pPr>
        <w:pBdr>
          <w:top w:val="nil"/>
          <w:left w:val="nil"/>
          <w:bottom w:val="nil"/>
          <w:right w:val="nil"/>
          <w:between w:val="nil"/>
        </w:pBdr>
        <w:spacing w:line="276" w:lineRule="auto"/>
        <w:rPr>
          <w:rFonts w:asciiTheme="majorHAnsi" w:hAnsiTheme="majorHAnsi" w:cstheme="majorHAnsi"/>
          <w:sz w:val="22"/>
          <w:szCs w:val="22"/>
        </w:rPr>
      </w:pPr>
    </w:p>
    <w:p w14:paraId="00000070" w14:textId="3628FE7C" w:rsidR="001D64D0" w:rsidRPr="006644B0" w:rsidRDefault="009245D5" w:rsidP="006644B0">
      <w:pPr>
        <w:numPr>
          <w:ilvl w:val="0"/>
          <w:numId w:val="4"/>
        </w:numPr>
        <w:pBdr>
          <w:top w:val="nil"/>
          <w:left w:val="nil"/>
          <w:bottom w:val="nil"/>
          <w:right w:val="nil"/>
          <w:between w:val="nil"/>
        </w:pBd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Requiring </w:t>
      </w:r>
      <w:r w:rsidRPr="005A3839">
        <w:rPr>
          <w:rFonts w:asciiTheme="majorHAnsi" w:hAnsiTheme="majorHAnsi" w:cstheme="majorHAnsi"/>
          <w:b/>
          <w:bCs/>
          <w:color w:val="000000"/>
          <w:sz w:val="22"/>
          <w:szCs w:val="22"/>
        </w:rPr>
        <w:t>time-bound disclosure</w:t>
      </w:r>
      <w:r w:rsidRPr="006644B0">
        <w:rPr>
          <w:rFonts w:asciiTheme="majorHAnsi" w:hAnsiTheme="majorHAnsi" w:cstheme="majorHAnsi"/>
          <w:color w:val="000000"/>
          <w:sz w:val="22"/>
          <w:szCs w:val="22"/>
        </w:rPr>
        <w:t xml:space="preserve"> of project information in advance of approval</w:t>
      </w:r>
      <w:r w:rsidR="005A3839">
        <w:rPr>
          <w:rFonts w:asciiTheme="majorHAnsi" w:hAnsiTheme="majorHAnsi" w:cstheme="majorHAnsi"/>
          <w:color w:val="000000"/>
          <w:sz w:val="22"/>
          <w:szCs w:val="22"/>
        </w:rPr>
        <w:t>, in line with best practice</w:t>
      </w:r>
      <w:r w:rsidRPr="006644B0">
        <w:rPr>
          <w:rFonts w:asciiTheme="majorHAnsi" w:hAnsiTheme="majorHAnsi" w:cstheme="majorHAnsi"/>
          <w:color w:val="000000"/>
          <w:sz w:val="22"/>
          <w:szCs w:val="22"/>
        </w:rPr>
        <w:t>;</w:t>
      </w:r>
    </w:p>
    <w:p w14:paraId="00000071" w14:textId="77777777" w:rsidR="001D64D0" w:rsidRPr="006644B0" w:rsidRDefault="009245D5" w:rsidP="006644B0">
      <w:pPr>
        <w:numPr>
          <w:ilvl w:val="0"/>
          <w:numId w:val="2"/>
        </w:numPr>
        <w:pBdr>
          <w:top w:val="nil"/>
          <w:left w:val="nil"/>
          <w:bottom w:val="nil"/>
          <w:right w:val="nil"/>
          <w:between w:val="nil"/>
        </w:pBdr>
        <w:spacing w:after="80"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Disclosure of the </w:t>
      </w:r>
      <w:r w:rsidRPr="006644B0">
        <w:rPr>
          <w:rFonts w:asciiTheme="majorHAnsi" w:hAnsiTheme="majorHAnsi" w:cstheme="majorHAnsi"/>
          <w:b/>
          <w:color w:val="000000"/>
          <w:sz w:val="22"/>
          <w:szCs w:val="22"/>
        </w:rPr>
        <w:t>name, sector and location of higher risk sub-projects</w:t>
      </w:r>
      <w:r w:rsidRPr="006644B0">
        <w:rPr>
          <w:rFonts w:asciiTheme="majorHAnsi" w:hAnsiTheme="majorHAnsi" w:cstheme="majorHAnsi"/>
          <w:color w:val="000000"/>
          <w:sz w:val="22"/>
          <w:szCs w:val="22"/>
        </w:rPr>
        <w:t xml:space="preserve"> financed via FIs on the AIIB’s website and on the client’s website;</w:t>
      </w:r>
    </w:p>
    <w:p w14:paraId="00000072" w14:textId="77777777" w:rsidR="001D64D0" w:rsidRPr="006644B0" w:rsidRDefault="009245D5" w:rsidP="006644B0">
      <w:pPr>
        <w:numPr>
          <w:ilvl w:val="0"/>
          <w:numId w:val="2"/>
        </w:numPr>
        <w:pBdr>
          <w:top w:val="nil"/>
          <w:left w:val="nil"/>
          <w:bottom w:val="nil"/>
          <w:right w:val="nil"/>
          <w:between w:val="nil"/>
        </w:pBdr>
        <w:spacing w:after="80"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Disclosure of the AIIB’s involvement in sub-projects at the </w:t>
      </w:r>
      <w:r w:rsidRPr="006265AA">
        <w:rPr>
          <w:rFonts w:asciiTheme="majorHAnsi" w:hAnsiTheme="majorHAnsi" w:cstheme="majorHAnsi"/>
          <w:b/>
          <w:bCs/>
          <w:color w:val="000000"/>
          <w:sz w:val="22"/>
          <w:szCs w:val="22"/>
        </w:rPr>
        <w:t>project sites</w:t>
      </w:r>
      <w:r w:rsidRPr="006644B0">
        <w:rPr>
          <w:rFonts w:asciiTheme="majorHAnsi" w:hAnsiTheme="majorHAnsi" w:cstheme="majorHAnsi"/>
          <w:color w:val="000000"/>
          <w:sz w:val="22"/>
          <w:szCs w:val="22"/>
        </w:rPr>
        <w:t>, ensuring that it is clearly visible and understandable to affected communities</w:t>
      </w:r>
      <w:r w:rsidRPr="006644B0">
        <w:rPr>
          <w:rFonts w:asciiTheme="majorHAnsi" w:hAnsiTheme="majorHAnsi" w:cstheme="majorHAnsi"/>
          <w:sz w:val="22"/>
          <w:szCs w:val="22"/>
        </w:rPr>
        <w:t>.</w:t>
      </w:r>
    </w:p>
    <w:p w14:paraId="00000073" w14:textId="77777777" w:rsidR="001D64D0" w:rsidRPr="006644B0" w:rsidRDefault="001D64D0" w:rsidP="006644B0">
      <w:pPr>
        <w:spacing w:line="276" w:lineRule="auto"/>
        <w:jc w:val="both"/>
        <w:rPr>
          <w:rFonts w:asciiTheme="majorHAnsi" w:hAnsiTheme="majorHAnsi" w:cstheme="majorHAnsi"/>
          <w:b/>
          <w:color w:val="000000"/>
          <w:sz w:val="22"/>
          <w:szCs w:val="22"/>
        </w:rPr>
      </w:pPr>
    </w:p>
    <w:p w14:paraId="00000074" w14:textId="561CEFEF" w:rsidR="001D64D0" w:rsidRPr="00FA2D3A" w:rsidRDefault="009245D5" w:rsidP="006644B0">
      <w:pPr>
        <w:spacing w:line="276" w:lineRule="auto"/>
        <w:jc w:val="center"/>
        <w:rPr>
          <w:rFonts w:asciiTheme="majorHAnsi" w:hAnsiTheme="majorHAnsi" w:cstheme="majorHAnsi"/>
          <w:b/>
          <w:color w:val="000000"/>
          <w:sz w:val="28"/>
          <w:szCs w:val="28"/>
        </w:rPr>
      </w:pPr>
      <w:r w:rsidRPr="00FA2D3A">
        <w:rPr>
          <w:rFonts w:asciiTheme="majorHAnsi" w:hAnsiTheme="majorHAnsi" w:cstheme="majorHAnsi"/>
          <w:b/>
          <w:color w:val="000000"/>
          <w:sz w:val="28"/>
          <w:szCs w:val="28"/>
        </w:rPr>
        <w:t>Risk categorisation</w:t>
      </w:r>
      <w:r w:rsidR="009B5B7A" w:rsidRPr="00FA2D3A">
        <w:rPr>
          <w:rFonts w:asciiTheme="majorHAnsi" w:hAnsiTheme="majorHAnsi" w:cstheme="majorHAnsi"/>
          <w:b/>
          <w:color w:val="000000"/>
          <w:sz w:val="28"/>
          <w:szCs w:val="28"/>
        </w:rPr>
        <w:t>, ring-fencing</w:t>
      </w:r>
      <w:r w:rsidRPr="00FA2D3A">
        <w:rPr>
          <w:rFonts w:asciiTheme="majorHAnsi" w:hAnsiTheme="majorHAnsi" w:cstheme="majorHAnsi"/>
          <w:b/>
          <w:color w:val="000000"/>
          <w:sz w:val="28"/>
          <w:szCs w:val="28"/>
        </w:rPr>
        <w:t xml:space="preserve"> and supervision</w:t>
      </w:r>
    </w:p>
    <w:p w14:paraId="00000075" w14:textId="77777777" w:rsidR="001D64D0" w:rsidRPr="006644B0" w:rsidRDefault="001D64D0" w:rsidP="006644B0">
      <w:pPr>
        <w:pBdr>
          <w:top w:val="nil"/>
          <w:left w:val="nil"/>
          <w:bottom w:val="nil"/>
          <w:right w:val="nil"/>
          <w:between w:val="nil"/>
        </w:pBdr>
        <w:spacing w:line="276" w:lineRule="auto"/>
        <w:ind w:left="720"/>
        <w:jc w:val="both"/>
        <w:rPr>
          <w:rFonts w:asciiTheme="majorHAnsi" w:hAnsiTheme="majorHAnsi" w:cstheme="majorHAnsi"/>
          <w:b/>
          <w:sz w:val="22"/>
          <w:szCs w:val="22"/>
        </w:rPr>
      </w:pPr>
    </w:p>
    <w:p w14:paraId="00000076" w14:textId="476AECFF" w:rsidR="001D64D0" w:rsidRPr="006644B0" w:rsidRDefault="009245D5" w:rsidP="006644B0">
      <w:pPr>
        <w:pBdr>
          <w:top w:val="nil"/>
          <w:left w:val="nil"/>
          <w:bottom w:val="nil"/>
          <w:right w:val="nil"/>
          <w:between w:val="nil"/>
        </w:pBdr>
        <w:spacing w:line="276" w:lineRule="auto"/>
        <w:jc w:val="both"/>
        <w:rPr>
          <w:rFonts w:asciiTheme="majorHAnsi" w:hAnsiTheme="majorHAnsi" w:cstheme="majorHAnsi"/>
          <w:b/>
          <w:color w:val="000000"/>
          <w:sz w:val="22"/>
          <w:szCs w:val="22"/>
        </w:rPr>
      </w:pPr>
      <w:r w:rsidRPr="006644B0">
        <w:rPr>
          <w:rFonts w:asciiTheme="majorHAnsi" w:hAnsiTheme="majorHAnsi" w:cstheme="majorHAnsi"/>
          <w:b/>
          <w:color w:val="000000"/>
          <w:sz w:val="22"/>
          <w:szCs w:val="22"/>
        </w:rPr>
        <w:t>Current AIIB policy:</w:t>
      </w:r>
      <w:r w:rsidRPr="006644B0">
        <w:rPr>
          <w:rFonts w:asciiTheme="majorHAnsi" w:hAnsiTheme="majorHAnsi" w:cstheme="majorHAnsi"/>
          <w:color w:val="000000"/>
          <w:sz w:val="22"/>
          <w:szCs w:val="22"/>
        </w:rPr>
        <w:t xml:space="preserve"> </w:t>
      </w:r>
      <w:r w:rsidR="0015077F">
        <w:rPr>
          <w:rFonts w:asciiTheme="majorHAnsi" w:hAnsiTheme="majorHAnsi" w:cstheme="majorHAnsi"/>
          <w:color w:val="222222"/>
          <w:sz w:val="22"/>
          <w:szCs w:val="22"/>
        </w:rPr>
        <w:t>The</w:t>
      </w:r>
      <w:r w:rsidRPr="006644B0">
        <w:rPr>
          <w:rFonts w:asciiTheme="majorHAnsi" w:hAnsiTheme="majorHAnsi" w:cstheme="majorHAnsi"/>
          <w:color w:val="222222"/>
          <w:sz w:val="22"/>
          <w:szCs w:val="22"/>
        </w:rPr>
        <w:t xml:space="preserve"> ESF</w:t>
      </w:r>
      <w:r w:rsidR="0015077F">
        <w:rPr>
          <w:rFonts w:asciiTheme="majorHAnsi" w:hAnsiTheme="majorHAnsi" w:cstheme="majorHAnsi"/>
          <w:color w:val="222222"/>
          <w:sz w:val="22"/>
          <w:szCs w:val="22"/>
        </w:rPr>
        <w:t xml:space="preserve"> delegates responsibility from the AIIB to</w:t>
      </w:r>
      <w:r w:rsidRPr="006644B0">
        <w:rPr>
          <w:rFonts w:asciiTheme="majorHAnsi" w:hAnsiTheme="majorHAnsi" w:cstheme="majorHAnsi"/>
          <w:color w:val="222222"/>
          <w:sz w:val="22"/>
          <w:szCs w:val="22"/>
        </w:rPr>
        <w:t xml:space="preserve"> the FI Client to categorize sub-projects as Category A, B or C and monitor the corresponding E&amp;S risks associated with these sub-projects. </w:t>
      </w:r>
    </w:p>
    <w:p w14:paraId="00000077" w14:textId="77777777" w:rsidR="001D64D0" w:rsidRPr="006644B0" w:rsidRDefault="001D64D0" w:rsidP="006644B0">
      <w:pPr>
        <w:pBdr>
          <w:top w:val="nil"/>
          <w:left w:val="nil"/>
          <w:bottom w:val="nil"/>
          <w:right w:val="nil"/>
          <w:between w:val="nil"/>
        </w:pBdr>
        <w:spacing w:line="276" w:lineRule="auto"/>
        <w:jc w:val="both"/>
        <w:rPr>
          <w:rFonts w:asciiTheme="majorHAnsi" w:hAnsiTheme="majorHAnsi" w:cstheme="majorHAnsi"/>
          <w:b/>
          <w:sz w:val="22"/>
          <w:szCs w:val="22"/>
        </w:rPr>
      </w:pPr>
    </w:p>
    <w:p w14:paraId="00000078" w14:textId="77777777" w:rsidR="001D64D0" w:rsidRPr="006644B0" w:rsidRDefault="009245D5" w:rsidP="006644B0">
      <w:pPr>
        <w:pBdr>
          <w:top w:val="nil"/>
          <w:left w:val="nil"/>
          <w:bottom w:val="nil"/>
          <w:right w:val="nil"/>
          <w:between w:val="nil"/>
        </w:pBdr>
        <w:spacing w:line="276" w:lineRule="auto"/>
        <w:jc w:val="both"/>
        <w:rPr>
          <w:rFonts w:asciiTheme="majorHAnsi" w:hAnsiTheme="majorHAnsi" w:cstheme="majorHAnsi"/>
          <w:i/>
          <w:color w:val="000000"/>
          <w:sz w:val="22"/>
          <w:szCs w:val="22"/>
        </w:rPr>
      </w:pPr>
      <w:r w:rsidRPr="006644B0">
        <w:rPr>
          <w:rFonts w:asciiTheme="majorHAnsi" w:hAnsiTheme="majorHAnsi" w:cstheme="majorHAnsi"/>
          <w:b/>
          <w:i/>
          <w:color w:val="000000"/>
          <w:sz w:val="22"/>
          <w:szCs w:val="22"/>
        </w:rPr>
        <w:lastRenderedPageBreak/>
        <w:t>Best practice at peer institutions:</w:t>
      </w:r>
      <w:r w:rsidRPr="006644B0">
        <w:rPr>
          <w:rFonts w:asciiTheme="majorHAnsi" w:hAnsiTheme="majorHAnsi" w:cstheme="majorHAnsi"/>
          <w:i/>
          <w:color w:val="000000"/>
          <w:sz w:val="22"/>
          <w:szCs w:val="22"/>
        </w:rPr>
        <w:t xml:space="preserve"> </w:t>
      </w:r>
    </w:p>
    <w:p w14:paraId="00000079" w14:textId="77777777" w:rsidR="001D64D0" w:rsidRPr="006644B0" w:rsidRDefault="001D64D0" w:rsidP="006644B0">
      <w:pPr>
        <w:pBdr>
          <w:top w:val="nil"/>
          <w:left w:val="nil"/>
          <w:bottom w:val="nil"/>
          <w:right w:val="nil"/>
          <w:between w:val="nil"/>
        </w:pBdr>
        <w:spacing w:line="276" w:lineRule="auto"/>
        <w:jc w:val="both"/>
        <w:rPr>
          <w:rFonts w:asciiTheme="majorHAnsi" w:hAnsiTheme="majorHAnsi" w:cstheme="majorHAnsi"/>
          <w:sz w:val="22"/>
          <w:szCs w:val="22"/>
        </w:rPr>
      </w:pPr>
    </w:p>
    <w:p w14:paraId="0000007A" w14:textId="77777777" w:rsidR="001D64D0" w:rsidRPr="006644B0" w:rsidRDefault="009245D5" w:rsidP="006644B0">
      <w:pPr>
        <w:pBdr>
          <w:top w:val="nil"/>
          <w:left w:val="nil"/>
          <w:bottom w:val="nil"/>
          <w:right w:val="nil"/>
          <w:between w:val="nil"/>
        </w:pBdr>
        <w:spacing w:line="276" w:lineRule="auto"/>
        <w:jc w:val="both"/>
        <w:rPr>
          <w:rFonts w:asciiTheme="majorHAnsi" w:hAnsiTheme="majorHAnsi" w:cstheme="majorHAnsi"/>
          <w:b/>
          <w:color w:val="000000"/>
          <w:sz w:val="22"/>
          <w:szCs w:val="22"/>
        </w:rPr>
      </w:pPr>
      <w:r w:rsidRPr="006644B0">
        <w:rPr>
          <w:rFonts w:asciiTheme="majorHAnsi" w:hAnsiTheme="majorHAnsi" w:cstheme="majorHAnsi"/>
          <w:color w:val="000000"/>
          <w:sz w:val="22"/>
          <w:szCs w:val="22"/>
        </w:rPr>
        <w:t>Given the documented problems with FI mis-categorisation of projects (the incentive is to categorise the projects at a lower risk level to avoid costly due diligence), the European Bank for Reconstruction and Development has developed a ‘referral list’</w:t>
      </w:r>
      <w:r w:rsidRPr="006644B0">
        <w:rPr>
          <w:rFonts w:asciiTheme="majorHAnsi" w:hAnsiTheme="majorHAnsi" w:cstheme="majorHAnsi"/>
          <w:color w:val="000000"/>
          <w:sz w:val="22"/>
          <w:szCs w:val="22"/>
          <w:vertAlign w:val="superscript"/>
        </w:rPr>
        <w:footnoteReference w:id="12"/>
      </w:r>
      <w:r w:rsidRPr="006644B0">
        <w:rPr>
          <w:rFonts w:asciiTheme="majorHAnsi" w:hAnsiTheme="majorHAnsi" w:cstheme="majorHAnsi"/>
          <w:color w:val="000000"/>
          <w:sz w:val="22"/>
          <w:szCs w:val="22"/>
        </w:rPr>
        <w:t xml:space="preserve"> for higher risk projects, to ensure it both assesses risk categorisation and monitors E&amp;S standards implementation itself in higher risk sub-projects.</w:t>
      </w:r>
    </w:p>
    <w:p w14:paraId="0000007B" w14:textId="77777777" w:rsidR="001D64D0" w:rsidRPr="006644B0" w:rsidRDefault="001D64D0" w:rsidP="006644B0">
      <w:pPr>
        <w:pBdr>
          <w:top w:val="nil"/>
          <w:left w:val="nil"/>
          <w:bottom w:val="nil"/>
          <w:right w:val="nil"/>
          <w:between w:val="nil"/>
        </w:pBdr>
        <w:spacing w:line="276" w:lineRule="auto"/>
        <w:jc w:val="both"/>
        <w:rPr>
          <w:rFonts w:asciiTheme="majorHAnsi" w:hAnsiTheme="majorHAnsi" w:cstheme="majorHAnsi"/>
          <w:b/>
          <w:sz w:val="22"/>
          <w:szCs w:val="22"/>
        </w:rPr>
      </w:pPr>
    </w:p>
    <w:p w14:paraId="0000007C" w14:textId="77777777" w:rsidR="001D64D0" w:rsidRPr="006644B0" w:rsidRDefault="009245D5" w:rsidP="006644B0">
      <w:pPr>
        <w:pBdr>
          <w:top w:val="nil"/>
          <w:left w:val="nil"/>
          <w:bottom w:val="nil"/>
          <w:right w:val="nil"/>
          <w:between w:val="nil"/>
        </w:pBdr>
        <w:spacing w:line="276" w:lineRule="auto"/>
        <w:jc w:val="both"/>
        <w:rPr>
          <w:rFonts w:asciiTheme="majorHAnsi" w:hAnsiTheme="majorHAnsi" w:cstheme="majorHAnsi"/>
          <w:b/>
          <w:color w:val="000000"/>
          <w:sz w:val="22"/>
          <w:szCs w:val="22"/>
        </w:rPr>
      </w:pPr>
      <w:r w:rsidRPr="006644B0">
        <w:rPr>
          <w:rFonts w:asciiTheme="majorHAnsi" w:hAnsiTheme="majorHAnsi" w:cstheme="majorHAnsi"/>
          <w:b/>
          <w:color w:val="000000"/>
          <w:sz w:val="22"/>
          <w:szCs w:val="22"/>
        </w:rPr>
        <w:t>Proposal for reform to ESF:</w:t>
      </w:r>
      <w:r w:rsidRPr="006644B0">
        <w:rPr>
          <w:rFonts w:asciiTheme="majorHAnsi" w:hAnsiTheme="majorHAnsi" w:cstheme="majorHAnsi"/>
          <w:color w:val="000000"/>
          <w:sz w:val="22"/>
          <w:szCs w:val="22"/>
        </w:rPr>
        <w:t xml:space="preserve"> </w:t>
      </w:r>
    </w:p>
    <w:p w14:paraId="0000007D" w14:textId="40106185" w:rsidR="001D64D0" w:rsidRPr="006644B0" w:rsidRDefault="009245D5" w:rsidP="006644B0">
      <w:pPr>
        <w:numPr>
          <w:ilvl w:val="0"/>
          <w:numId w:val="6"/>
        </w:numPr>
        <w:pBdr>
          <w:top w:val="nil"/>
          <w:left w:val="nil"/>
          <w:bottom w:val="nil"/>
          <w:right w:val="nil"/>
          <w:between w:val="nil"/>
        </w:pBdr>
        <w:spacing w:line="276" w:lineRule="auto"/>
        <w:jc w:val="both"/>
        <w:rPr>
          <w:rFonts w:asciiTheme="majorHAnsi" w:hAnsiTheme="majorHAnsi" w:cstheme="majorHAnsi"/>
          <w:b/>
          <w:color w:val="000000"/>
          <w:sz w:val="22"/>
          <w:szCs w:val="22"/>
        </w:rPr>
      </w:pPr>
      <w:r w:rsidRPr="006644B0">
        <w:rPr>
          <w:rFonts w:asciiTheme="majorHAnsi" w:hAnsiTheme="majorHAnsi" w:cstheme="majorHAnsi"/>
          <w:color w:val="000000"/>
          <w:sz w:val="22"/>
          <w:szCs w:val="22"/>
        </w:rPr>
        <w:t xml:space="preserve">Adopt a </w:t>
      </w:r>
      <w:r w:rsidRPr="00515F81">
        <w:rPr>
          <w:rFonts w:asciiTheme="majorHAnsi" w:hAnsiTheme="majorHAnsi" w:cstheme="majorHAnsi"/>
          <w:b/>
          <w:bCs/>
          <w:color w:val="000000"/>
          <w:sz w:val="22"/>
          <w:szCs w:val="22"/>
        </w:rPr>
        <w:t>‘referral list’</w:t>
      </w:r>
      <w:r w:rsidRPr="006644B0">
        <w:rPr>
          <w:rFonts w:asciiTheme="majorHAnsi" w:hAnsiTheme="majorHAnsi" w:cstheme="majorHAnsi"/>
          <w:color w:val="000000"/>
          <w:sz w:val="22"/>
          <w:szCs w:val="22"/>
        </w:rPr>
        <w:t xml:space="preserve"> approach, where higher risk sub-projects are automatically flagged and given higher attention, including by bank staff. </w:t>
      </w:r>
      <w:r w:rsidR="00BE4979">
        <w:rPr>
          <w:rFonts w:asciiTheme="majorHAnsi" w:hAnsiTheme="majorHAnsi" w:cstheme="majorHAnsi"/>
          <w:color w:val="000000"/>
          <w:sz w:val="22"/>
          <w:szCs w:val="22"/>
        </w:rPr>
        <w:t>This should include all large-scale infrastructure, including large-scale renewables projects.</w:t>
      </w:r>
    </w:p>
    <w:p w14:paraId="0000007E" w14:textId="77777777" w:rsidR="001D64D0" w:rsidRPr="006644B0" w:rsidRDefault="009245D5" w:rsidP="006644B0">
      <w:pPr>
        <w:numPr>
          <w:ilvl w:val="0"/>
          <w:numId w:val="6"/>
        </w:numPr>
        <w:pBdr>
          <w:top w:val="nil"/>
          <w:left w:val="nil"/>
          <w:bottom w:val="nil"/>
          <w:right w:val="nil"/>
          <w:between w:val="nil"/>
        </w:pBdr>
        <w:spacing w:line="276" w:lineRule="auto"/>
        <w:jc w:val="both"/>
        <w:rPr>
          <w:rFonts w:asciiTheme="majorHAnsi" w:hAnsiTheme="majorHAnsi" w:cstheme="majorHAnsi"/>
          <w:b/>
          <w:color w:val="000000"/>
          <w:sz w:val="22"/>
          <w:szCs w:val="22"/>
        </w:rPr>
      </w:pPr>
      <w:r w:rsidRPr="006644B0">
        <w:rPr>
          <w:rFonts w:asciiTheme="majorHAnsi" w:hAnsiTheme="majorHAnsi" w:cstheme="majorHAnsi"/>
          <w:color w:val="000000"/>
          <w:sz w:val="22"/>
          <w:szCs w:val="22"/>
        </w:rPr>
        <w:t xml:space="preserve">EBRD language </w:t>
      </w:r>
      <w:r w:rsidRPr="00515F81">
        <w:rPr>
          <w:rFonts w:asciiTheme="majorHAnsi" w:hAnsiTheme="majorHAnsi" w:cstheme="majorHAnsi"/>
          <w:b/>
          <w:bCs/>
          <w:color w:val="000000"/>
          <w:sz w:val="22"/>
          <w:szCs w:val="22"/>
        </w:rPr>
        <w:t>requires the bank to engage</w:t>
      </w:r>
      <w:r w:rsidRPr="006644B0">
        <w:rPr>
          <w:rFonts w:asciiTheme="majorHAnsi" w:hAnsiTheme="majorHAnsi" w:cstheme="majorHAnsi"/>
          <w:color w:val="000000"/>
          <w:sz w:val="22"/>
          <w:szCs w:val="22"/>
        </w:rPr>
        <w:t xml:space="preserve"> as follows “EBRD will assist FIs with the appraisal of these [referral list] subprojects. EBRD environmental/social specialists will review the due diligence information collected by the FI, determine any additional information needed, assist with determining appropriate mitigation measures and, if necessary, specify conditions under which the subprojects may proceed.” The AIIB could adopt a similar approach.</w:t>
      </w:r>
    </w:p>
    <w:p w14:paraId="05D72311" w14:textId="671F9260" w:rsidR="00B828AD" w:rsidRDefault="009245D5" w:rsidP="00B828AD">
      <w:pPr>
        <w:numPr>
          <w:ilvl w:val="0"/>
          <w:numId w:val="6"/>
        </w:numPr>
        <w:pBdr>
          <w:top w:val="nil"/>
          <w:left w:val="nil"/>
          <w:bottom w:val="nil"/>
          <w:right w:val="nil"/>
          <w:between w:val="nil"/>
        </w:pBdr>
        <w:spacing w:line="276" w:lineRule="auto"/>
        <w:rPr>
          <w:rFonts w:asciiTheme="majorHAnsi" w:hAnsiTheme="majorHAnsi" w:cstheme="majorHAnsi"/>
          <w:color w:val="222222"/>
          <w:sz w:val="22"/>
          <w:szCs w:val="22"/>
        </w:rPr>
      </w:pPr>
      <w:r w:rsidRPr="006644B0">
        <w:rPr>
          <w:rFonts w:asciiTheme="majorHAnsi" w:hAnsiTheme="majorHAnsi" w:cstheme="majorHAnsi"/>
          <w:color w:val="222222"/>
          <w:sz w:val="22"/>
          <w:szCs w:val="22"/>
        </w:rPr>
        <w:t>Additional requirements should be included in the ESMP/ESM Planning Requirement for FI projects to </w:t>
      </w:r>
      <w:r w:rsidRPr="006644B0">
        <w:rPr>
          <w:rFonts w:asciiTheme="majorHAnsi" w:hAnsiTheme="majorHAnsi" w:cstheme="majorHAnsi"/>
          <w:b/>
          <w:color w:val="222222"/>
          <w:sz w:val="22"/>
          <w:szCs w:val="22"/>
        </w:rPr>
        <w:t>have clearly defined responsibilities for the FI Client, sub</w:t>
      </w:r>
      <w:r w:rsidR="00BC363B">
        <w:rPr>
          <w:rFonts w:asciiTheme="majorHAnsi" w:hAnsiTheme="majorHAnsi" w:cstheme="majorHAnsi"/>
          <w:b/>
          <w:color w:val="222222"/>
          <w:sz w:val="22"/>
          <w:szCs w:val="22"/>
        </w:rPr>
        <w:t>-</w:t>
      </w:r>
      <w:r w:rsidRPr="006644B0">
        <w:rPr>
          <w:rFonts w:asciiTheme="majorHAnsi" w:hAnsiTheme="majorHAnsi" w:cstheme="majorHAnsi"/>
          <w:b/>
          <w:color w:val="222222"/>
          <w:sz w:val="22"/>
          <w:szCs w:val="22"/>
        </w:rPr>
        <w:t>project client and the Client's contractor. </w:t>
      </w:r>
      <w:r w:rsidRPr="006644B0">
        <w:rPr>
          <w:rFonts w:asciiTheme="majorHAnsi" w:hAnsiTheme="majorHAnsi" w:cstheme="majorHAnsi"/>
          <w:color w:val="222222"/>
          <w:sz w:val="22"/>
          <w:szCs w:val="22"/>
        </w:rPr>
        <w:t>The AIIB and its FI client must ensure that the hired contractors are also adequately equipped to implement the ESF.</w:t>
      </w:r>
    </w:p>
    <w:p w14:paraId="57ECC5D8" w14:textId="6B02AF8F" w:rsidR="00B828AD" w:rsidRPr="00B828AD" w:rsidRDefault="00B828AD" w:rsidP="00B828AD">
      <w:pPr>
        <w:numPr>
          <w:ilvl w:val="0"/>
          <w:numId w:val="6"/>
        </w:numPr>
        <w:pBdr>
          <w:top w:val="nil"/>
          <w:left w:val="nil"/>
          <w:bottom w:val="nil"/>
          <w:right w:val="nil"/>
          <w:between w:val="nil"/>
        </w:pBdr>
        <w:spacing w:line="276" w:lineRule="auto"/>
        <w:rPr>
          <w:rFonts w:asciiTheme="majorHAnsi" w:hAnsiTheme="majorHAnsi" w:cstheme="majorHAnsi"/>
          <w:color w:val="222222"/>
          <w:sz w:val="22"/>
          <w:szCs w:val="22"/>
        </w:rPr>
      </w:pPr>
      <w:r w:rsidRPr="00B828AD">
        <w:rPr>
          <w:rFonts w:asciiTheme="majorHAnsi" w:hAnsiTheme="majorHAnsi" w:cstheme="majorHAnsi"/>
          <w:color w:val="222222"/>
          <w:sz w:val="22"/>
          <w:szCs w:val="22"/>
        </w:rPr>
        <w:t xml:space="preserve">Implement </w:t>
      </w:r>
      <w:r w:rsidRPr="00515F81">
        <w:rPr>
          <w:rFonts w:asciiTheme="majorHAnsi" w:hAnsiTheme="majorHAnsi" w:cstheme="majorHAnsi"/>
          <w:b/>
          <w:bCs/>
          <w:sz w:val="22"/>
          <w:szCs w:val="22"/>
        </w:rPr>
        <w:t>ring-fencing of FI investments</w:t>
      </w:r>
      <w:r w:rsidRPr="00B828AD">
        <w:rPr>
          <w:rFonts w:asciiTheme="majorHAnsi" w:hAnsiTheme="majorHAnsi" w:cstheme="majorHAnsi"/>
          <w:sz w:val="22"/>
          <w:szCs w:val="22"/>
        </w:rPr>
        <w:t xml:space="preserve"> </w:t>
      </w:r>
      <w:r w:rsidR="00074A39">
        <w:rPr>
          <w:rFonts w:asciiTheme="majorHAnsi" w:hAnsiTheme="majorHAnsi" w:cstheme="majorHAnsi"/>
          <w:sz w:val="22"/>
          <w:szCs w:val="22"/>
        </w:rPr>
        <w:t>to support</w:t>
      </w:r>
      <w:r w:rsidRPr="00B828AD">
        <w:rPr>
          <w:rFonts w:asciiTheme="majorHAnsi" w:hAnsiTheme="majorHAnsi" w:cstheme="majorHAnsi"/>
          <w:sz w:val="22"/>
          <w:szCs w:val="22"/>
        </w:rPr>
        <w:t xml:space="preserve"> specific projects that are low-E&amp;S risk and have genuine development impact and ensur</w:t>
      </w:r>
      <w:r w:rsidR="00C778AE">
        <w:rPr>
          <w:rFonts w:asciiTheme="majorHAnsi" w:hAnsiTheme="majorHAnsi" w:cstheme="majorHAnsi"/>
          <w:sz w:val="22"/>
          <w:szCs w:val="22"/>
        </w:rPr>
        <w:t>e</w:t>
      </w:r>
      <w:r w:rsidRPr="00B828AD">
        <w:rPr>
          <w:rFonts w:asciiTheme="majorHAnsi" w:hAnsiTheme="majorHAnsi" w:cstheme="majorHAnsi"/>
          <w:sz w:val="22"/>
          <w:szCs w:val="22"/>
        </w:rPr>
        <w:t xml:space="preserve"> this ring fencing is legally enforceable and traceable.</w:t>
      </w:r>
    </w:p>
    <w:p w14:paraId="00000080" w14:textId="77777777" w:rsidR="001D64D0" w:rsidRPr="006644B0" w:rsidRDefault="001D64D0" w:rsidP="006644B0">
      <w:pPr>
        <w:spacing w:line="276" w:lineRule="auto"/>
        <w:jc w:val="both"/>
        <w:rPr>
          <w:rFonts w:asciiTheme="majorHAnsi" w:hAnsiTheme="majorHAnsi" w:cstheme="majorHAnsi"/>
          <w:b/>
          <w:color w:val="000000"/>
          <w:sz w:val="22"/>
          <w:szCs w:val="22"/>
        </w:rPr>
      </w:pPr>
    </w:p>
    <w:p w14:paraId="00000081" w14:textId="77777777" w:rsidR="001D64D0" w:rsidRPr="00BC363B" w:rsidRDefault="009245D5" w:rsidP="006644B0">
      <w:pPr>
        <w:spacing w:line="276" w:lineRule="auto"/>
        <w:jc w:val="center"/>
        <w:rPr>
          <w:rFonts w:asciiTheme="majorHAnsi" w:hAnsiTheme="majorHAnsi" w:cstheme="majorHAnsi"/>
          <w:b/>
          <w:color w:val="000000"/>
          <w:sz w:val="28"/>
          <w:szCs w:val="28"/>
        </w:rPr>
      </w:pPr>
      <w:r w:rsidRPr="00BC363B">
        <w:rPr>
          <w:rFonts w:asciiTheme="majorHAnsi" w:hAnsiTheme="majorHAnsi" w:cstheme="majorHAnsi"/>
          <w:b/>
          <w:color w:val="000000"/>
          <w:sz w:val="28"/>
          <w:szCs w:val="28"/>
        </w:rPr>
        <w:t>Climate mitigation</w:t>
      </w:r>
    </w:p>
    <w:p w14:paraId="00000082" w14:textId="77777777" w:rsidR="001D64D0" w:rsidRPr="006644B0" w:rsidRDefault="001D64D0" w:rsidP="006644B0">
      <w:pPr>
        <w:spacing w:line="276" w:lineRule="auto"/>
        <w:jc w:val="center"/>
        <w:rPr>
          <w:rFonts w:asciiTheme="majorHAnsi" w:hAnsiTheme="majorHAnsi" w:cstheme="majorHAnsi"/>
          <w:b/>
          <w:color w:val="000000"/>
          <w:sz w:val="22"/>
          <w:szCs w:val="22"/>
        </w:rPr>
      </w:pPr>
    </w:p>
    <w:p w14:paraId="00000083" w14:textId="77777777" w:rsidR="001D64D0" w:rsidRPr="006644B0" w:rsidRDefault="009245D5" w:rsidP="006644B0">
      <w:pPr>
        <w:pBdr>
          <w:top w:val="nil"/>
          <w:left w:val="nil"/>
          <w:bottom w:val="nil"/>
          <w:right w:val="nil"/>
          <w:between w:val="nil"/>
        </w:pBdr>
        <w:spacing w:line="276" w:lineRule="auto"/>
        <w:rPr>
          <w:rFonts w:asciiTheme="majorHAnsi" w:hAnsiTheme="majorHAnsi" w:cstheme="majorHAnsi"/>
          <w:b/>
          <w:color w:val="000000"/>
          <w:sz w:val="22"/>
          <w:szCs w:val="22"/>
        </w:rPr>
      </w:pPr>
      <w:r w:rsidRPr="006644B0">
        <w:rPr>
          <w:rFonts w:asciiTheme="majorHAnsi" w:hAnsiTheme="majorHAnsi" w:cstheme="majorHAnsi"/>
          <w:b/>
          <w:color w:val="000000"/>
          <w:sz w:val="22"/>
          <w:szCs w:val="22"/>
        </w:rPr>
        <w:lastRenderedPageBreak/>
        <w:t>Current AIIB policy:</w:t>
      </w:r>
      <w:r w:rsidRPr="006644B0">
        <w:rPr>
          <w:rFonts w:asciiTheme="majorHAnsi" w:hAnsiTheme="majorHAnsi" w:cstheme="majorHAnsi"/>
          <w:color w:val="000000"/>
          <w:sz w:val="22"/>
          <w:szCs w:val="22"/>
        </w:rPr>
        <w:t xml:space="preserve"> The AIIB’s Energy Sector Strategy and the ESF commit to align with the Paris Agreement on Climate Change. Addressing AIIB lending through </w:t>
      </w:r>
      <w:r w:rsidRPr="006644B0">
        <w:rPr>
          <w:rFonts w:asciiTheme="majorHAnsi" w:hAnsiTheme="majorHAnsi" w:cstheme="majorHAnsi"/>
          <w:sz w:val="22"/>
          <w:szCs w:val="22"/>
        </w:rPr>
        <w:t>FIs</w:t>
      </w:r>
      <w:r w:rsidRPr="006644B0">
        <w:rPr>
          <w:rFonts w:asciiTheme="majorHAnsi" w:hAnsiTheme="majorHAnsi" w:cstheme="majorHAnsi"/>
          <w:color w:val="000000"/>
          <w:sz w:val="22"/>
          <w:szCs w:val="22"/>
        </w:rPr>
        <w:t xml:space="preserve"> is crucial in ensuring both direct and indirect investments uphold this commitment. Current policies do not exclude coal and the ESF is weak on climate mitigation. </w:t>
      </w:r>
    </w:p>
    <w:p w14:paraId="00000084" w14:textId="77777777" w:rsidR="001D64D0" w:rsidRPr="006644B0" w:rsidRDefault="001D64D0" w:rsidP="006644B0">
      <w:pPr>
        <w:pBdr>
          <w:top w:val="nil"/>
          <w:left w:val="nil"/>
          <w:bottom w:val="nil"/>
          <w:right w:val="nil"/>
          <w:between w:val="nil"/>
        </w:pBdr>
        <w:spacing w:line="276" w:lineRule="auto"/>
        <w:rPr>
          <w:rFonts w:asciiTheme="majorHAnsi" w:hAnsiTheme="majorHAnsi" w:cstheme="majorHAnsi"/>
          <w:b/>
          <w:sz w:val="22"/>
          <w:szCs w:val="22"/>
        </w:rPr>
      </w:pPr>
    </w:p>
    <w:p w14:paraId="00000085" w14:textId="77777777" w:rsidR="001D64D0" w:rsidRPr="006644B0" w:rsidRDefault="009245D5" w:rsidP="006644B0">
      <w:pPr>
        <w:pBdr>
          <w:top w:val="nil"/>
          <w:left w:val="nil"/>
          <w:bottom w:val="nil"/>
          <w:right w:val="nil"/>
          <w:between w:val="nil"/>
        </w:pBdr>
        <w:spacing w:line="276" w:lineRule="auto"/>
        <w:rPr>
          <w:rFonts w:asciiTheme="majorHAnsi" w:hAnsiTheme="majorHAnsi" w:cstheme="majorHAnsi"/>
          <w:b/>
          <w:i/>
          <w:color w:val="000000"/>
          <w:sz w:val="22"/>
          <w:szCs w:val="22"/>
        </w:rPr>
      </w:pPr>
      <w:r w:rsidRPr="006644B0">
        <w:rPr>
          <w:rFonts w:asciiTheme="majorHAnsi" w:hAnsiTheme="majorHAnsi" w:cstheme="majorHAnsi"/>
          <w:b/>
          <w:i/>
          <w:color w:val="000000"/>
          <w:sz w:val="22"/>
          <w:szCs w:val="22"/>
        </w:rPr>
        <w:t>Best practice at peer institutions:</w:t>
      </w:r>
    </w:p>
    <w:p w14:paraId="00000086" w14:textId="77777777" w:rsidR="001D64D0" w:rsidRPr="006644B0" w:rsidRDefault="001D64D0" w:rsidP="006644B0">
      <w:pPr>
        <w:spacing w:line="276" w:lineRule="auto"/>
        <w:rPr>
          <w:rFonts w:asciiTheme="majorHAnsi" w:hAnsiTheme="majorHAnsi" w:cstheme="majorHAnsi"/>
          <w:sz w:val="22"/>
          <w:szCs w:val="22"/>
        </w:rPr>
      </w:pPr>
    </w:p>
    <w:p w14:paraId="00000087" w14:textId="77777777" w:rsidR="001D64D0" w:rsidRPr="006644B0" w:rsidRDefault="009245D5" w:rsidP="006644B0">
      <w:pPr>
        <w:spacing w:line="276" w:lineRule="auto"/>
        <w:rPr>
          <w:rFonts w:asciiTheme="majorHAnsi" w:hAnsiTheme="majorHAnsi" w:cstheme="majorHAnsi"/>
          <w:b/>
          <w:sz w:val="22"/>
          <w:szCs w:val="22"/>
        </w:rPr>
      </w:pPr>
      <w:r w:rsidRPr="006644B0">
        <w:rPr>
          <w:rFonts w:asciiTheme="majorHAnsi" w:hAnsiTheme="majorHAnsi" w:cstheme="majorHAnsi"/>
          <w:b/>
          <w:sz w:val="22"/>
          <w:szCs w:val="22"/>
        </w:rPr>
        <w:t>The International Finance Corporation</w:t>
      </w:r>
    </w:p>
    <w:p w14:paraId="00000088" w14:textId="77777777" w:rsidR="001D64D0" w:rsidRPr="006644B0" w:rsidRDefault="009245D5" w:rsidP="006644B0">
      <w:pPr>
        <w:spacing w:line="276" w:lineRule="auto"/>
        <w:rPr>
          <w:rFonts w:asciiTheme="majorHAnsi" w:hAnsiTheme="majorHAnsi" w:cstheme="majorHAnsi"/>
          <w:sz w:val="22"/>
          <w:szCs w:val="22"/>
        </w:rPr>
      </w:pPr>
      <w:r w:rsidRPr="006644B0">
        <w:rPr>
          <w:rFonts w:asciiTheme="majorHAnsi" w:hAnsiTheme="majorHAnsi" w:cstheme="majorHAnsi"/>
          <w:sz w:val="22"/>
          <w:szCs w:val="22"/>
        </w:rPr>
        <w:t xml:space="preserve">The CEO of the IFC, Philippe Le </w:t>
      </w:r>
      <w:proofErr w:type="spellStart"/>
      <w:r w:rsidRPr="006644B0">
        <w:rPr>
          <w:rFonts w:asciiTheme="majorHAnsi" w:hAnsiTheme="majorHAnsi" w:cstheme="majorHAnsi"/>
          <w:sz w:val="22"/>
          <w:szCs w:val="22"/>
        </w:rPr>
        <w:t>Houérou</w:t>
      </w:r>
      <w:proofErr w:type="spellEnd"/>
      <w:r w:rsidRPr="006644B0">
        <w:rPr>
          <w:rFonts w:asciiTheme="majorHAnsi" w:hAnsiTheme="majorHAnsi" w:cstheme="majorHAnsi"/>
          <w:sz w:val="22"/>
          <w:szCs w:val="22"/>
        </w:rPr>
        <w:t>, is instituting a number of significant reforms at the IFC aimed at reducing its fossil fuel exposure, including in its FI business.</w:t>
      </w:r>
    </w:p>
    <w:p w14:paraId="00000089" w14:textId="77777777" w:rsidR="001D64D0" w:rsidRPr="006644B0" w:rsidRDefault="001D64D0" w:rsidP="006644B0">
      <w:pPr>
        <w:spacing w:line="276" w:lineRule="auto"/>
        <w:rPr>
          <w:rFonts w:asciiTheme="majorHAnsi" w:hAnsiTheme="majorHAnsi" w:cstheme="majorHAnsi"/>
          <w:sz w:val="22"/>
          <w:szCs w:val="22"/>
        </w:rPr>
      </w:pPr>
    </w:p>
    <w:p w14:paraId="0000008A" w14:textId="77777777" w:rsidR="001D64D0" w:rsidRPr="006644B0" w:rsidRDefault="009245D5" w:rsidP="006644B0">
      <w:pPr>
        <w:spacing w:line="276" w:lineRule="auto"/>
        <w:rPr>
          <w:rFonts w:asciiTheme="majorHAnsi" w:hAnsiTheme="majorHAnsi" w:cstheme="majorHAnsi"/>
          <w:sz w:val="22"/>
          <w:szCs w:val="22"/>
        </w:rPr>
      </w:pPr>
      <w:r w:rsidRPr="006644B0">
        <w:rPr>
          <w:rFonts w:asciiTheme="majorHAnsi" w:hAnsiTheme="majorHAnsi" w:cstheme="majorHAnsi"/>
          <w:sz w:val="22"/>
          <w:szCs w:val="22"/>
        </w:rPr>
        <w:t xml:space="preserve">In its </w:t>
      </w:r>
      <w:hyperlink r:id="rId10">
        <w:r w:rsidRPr="006644B0">
          <w:rPr>
            <w:rFonts w:asciiTheme="majorHAnsi" w:hAnsiTheme="majorHAnsi" w:cstheme="majorHAnsi"/>
            <w:color w:val="1155CC"/>
            <w:sz w:val="22"/>
            <w:szCs w:val="22"/>
            <w:u w:val="single"/>
          </w:rPr>
          <w:t>Interpretation Note</w:t>
        </w:r>
      </w:hyperlink>
      <w:r w:rsidRPr="006644B0">
        <w:rPr>
          <w:rFonts w:asciiTheme="majorHAnsi" w:hAnsiTheme="majorHAnsi" w:cstheme="majorHAnsi"/>
          <w:sz w:val="22"/>
          <w:szCs w:val="22"/>
        </w:rPr>
        <w:t xml:space="preserve"> for FIs from November 2018, the IFC states: “The Exclusion List can be extended by adding more excluded activities, as part of the E&amp;S risk management efforts. For instance, in case of any targeted products IFC will </w:t>
      </w:r>
      <w:r w:rsidRPr="006644B0">
        <w:rPr>
          <w:rFonts w:asciiTheme="majorHAnsi" w:hAnsiTheme="majorHAnsi" w:cstheme="majorHAnsi"/>
          <w:b/>
          <w:sz w:val="22"/>
          <w:szCs w:val="22"/>
        </w:rPr>
        <w:t>exclude coal related sub-projects including coal mining, coal transportation or coal-fired power plants</w:t>
      </w:r>
      <w:r w:rsidRPr="006644B0">
        <w:rPr>
          <w:rFonts w:asciiTheme="majorHAnsi" w:hAnsiTheme="majorHAnsi" w:cstheme="majorHAnsi"/>
          <w:sz w:val="22"/>
          <w:szCs w:val="22"/>
        </w:rPr>
        <w:t>, as well as infrastructure services exclusively dedicated to support any of these activities. In case of projects involving collective investment vehicles such as PE Funds, the coal related investments will be either excluded up front or when this is not feasible IFC will opt out from such investments.”</w:t>
      </w:r>
    </w:p>
    <w:p w14:paraId="0000008B" w14:textId="77777777" w:rsidR="001D64D0" w:rsidRPr="006644B0" w:rsidRDefault="001D64D0" w:rsidP="006644B0">
      <w:pPr>
        <w:spacing w:line="276" w:lineRule="auto"/>
        <w:rPr>
          <w:rFonts w:asciiTheme="majorHAnsi" w:hAnsiTheme="majorHAnsi" w:cstheme="majorHAnsi"/>
          <w:sz w:val="22"/>
          <w:szCs w:val="22"/>
        </w:rPr>
      </w:pPr>
    </w:p>
    <w:p w14:paraId="0000008C" w14:textId="77777777" w:rsidR="001D64D0" w:rsidRPr="006644B0" w:rsidRDefault="009245D5" w:rsidP="006644B0">
      <w:pPr>
        <w:spacing w:line="276" w:lineRule="auto"/>
        <w:rPr>
          <w:rFonts w:asciiTheme="majorHAnsi" w:hAnsiTheme="majorHAnsi" w:cstheme="majorHAnsi"/>
          <w:sz w:val="22"/>
          <w:szCs w:val="22"/>
        </w:rPr>
      </w:pPr>
      <w:r w:rsidRPr="006644B0">
        <w:rPr>
          <w:rFonts w:asciiTheme="majorHAnsi" w:hAnsiTheme="majorHAnsi" w:cstheme="majorHAnsi"/>
          <w:sz w:val="22"/>
          <w:szCs w:val="22"/>
        </w:rPr>
        <w:t>The IFC also committed in the Interpretation Note to improve disclosure around coal exposure, including by requiring FI clients to report annually to the IFC: “For an FI, E&amp;S performance reports</w:t>
      </w:r>
      <w:r w:rsidRPr="006644B0">
        <w:rPr>
          <w:rFonts w:asciiTheme="majorHAnsi" w:hAnsiTheme="majorHAnsi" w:cstheme="majorHAnsi"/>
          <w:sz w:val="22"/>
          <w:szCs w:val="22"/>
          <w:vertAlign w:val="superscript"/>
        </w:rPr>
        <w:t xml:space="preserve"> </w:t>
      </w:r>
      <w:r w:rsidRPr="006644B0">
        <w:rPr>
          <w:rFonts w:asciiTheme="majorHAnsi" w:hAnsiTheme="majorHAnsi" w:cstheme="majorHAnsi"/>
          <w:sz w:val="22"/>
          <w:szCs w:val="22"/>
        </w:rPr>
        <w:t>to IFC should typically include: ... Where relevant, the FI clients’ exposures to high risk activities (e.g. coal related activities, palm oil, etc.)”</w:t>
      </w:r>
    </w:p>
    <w:p w14:paraId="0000008D" w14:textId="77777777" w:rsidR="001D64D0" w:rsidRPr="006644B0" w:rsidRDefault="001D64D0" w:rsidP="006644B0">
      <w:pPr>
        <w:spacing w:line="276" w:lineRule="auto"/>
        <w:rPr>
          <w:rFonts w:asciiTheme="majorHAnsi" w:hAnsiTheme="majorHAnsi" w:cstheme="majorHAnsi"/>
          <w:sz w:val="22"/>
          <w:szCs w:val="22"/>
        </w:rPr>
      </w:pPr>
    </w:p>
    <w:p w14:paraId="0000008E" w14:textId="77777777" w:rsidR="001D64D0" w:rsidRPr="006644B0" w:rsidRDefault="009245D5" w:rsidP="006644B0">
      <w:pPr>
        <w:spacing w:line="276" w:lineRule="auto"/>
        <w:rPr>
          <w:rFonts w:asciiTheme="majorHAnsi" w:hAnsiTheme="majorHAnsi" w:cstheme="majorHAnsi"/>
          <w:color w:val="000000"/>
          <w:sz w:val="22"/>
          <w:szCs w:val="22"/>
          <w:highlight w:val="white"/>
        </w:rPr>
      </w:pPr>
      <w:r w:rsidRPr="006644B0">
        <w:rPr>
          <w:rFonts w:asciiTheme="majorHAnsi" w:hAnsiTheme="majorHAnsi" w:cstheme="majorHAnsi"/>
          <w:color w:val="000000"/>
          <w:sz w:val="22"/>
          <w:szCs w:val="22"/>
        </w:rPr>
        <w:t>The IFC also commits to make this information on coal exposure public: “</w:t>
      </w:r>
      <w:r w:rsidRPr="006644B0">
        <w:rPr>
          <w:rFonts w:asciiTheme="majorHAnsi" w:hAnsiTheme="majorHAnsi" w:cstheme="majorHAnsi"/>
          <w:color w:val="000000"/>
          <w:sz w:val="22"/>
          <w:szCs w:val="22"/>
          <w:highlight w:val="white"/>
        </w:rPr>
        <w:t>We will require new equity financial intermediary clients exposed to coal projects to publicly disclose their total exposure in this sector.”</w:t>
      </w:r>
      <w:r w:rsidRPr="006644B0">
        <w:rPr>
          <w:rFonts w:asciiTheme="majorHAnsi" w:hAnsiTheme="majorHAnsi" w:cstheme="majorHAnsi"/>
          <w:color w:val="000000"/>
          <w:sz w:val="22"/>
          <w:szCs w:val="22"/>
          <w:highlight w:val="white"/>
          <w:vertAlign w:val="superscript"/>
        </w:rPr>
        <w:footnoteReference w:id="13"/>
      </w:r>
    </w:p>
    <w:p w14:paraId="0000008F" w14:textId="77777777" w:rsidR="001D64D0" w:rsidRPr="006644B0" w:rsidRDefault="001D64D0" w:rsidP="006644B0">
      <w:pPr>
        <w:spacing w:line="276" w:lineRule="auto"/>
        <w:rPr>
          <w:rFonts w:asciiTheme="majorHAnsi" w:hAnsiTheme="majorHAnsi" w:cstheme="majorHAnsi"/>
          <w:b/>
          <w:color w:val="000000"/>
          <w:sz w:val="22"/>
          <w:szCs w:val="22"/>
        </w:rPr>
      </w:pPr>
    </w:p>
    <w:p w14:paraId="00000090" w14:textId="77777777" w:rsidR="001D64D0" w:rsidRPr="006644B0" w:rsidRDefault="009245D5" w:rsidP="006644B0">
      <w:pP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In February 2019, the IFC went further and shared a draft </w:t>
      </w:r>
      <w:r w:rsidRPr="006644B0">
        <w:rPr>
          <w:rFonts w:asciiTheme="majorHAnsi" w:hAnsiTheme="majorHAnsi" w:cstheme="majorHAnsi"/>
          <w:b/>
          <w:color w:val="000000"/>
          <w:sz w:val="22"/>
          <w:szCs w:val="22"/>
        </w:rPr>
        <w:t>Green Equity Strategy</w:t>
      </w:r>
      <w:r w:rsidRPr="006644B0">
        <w:rPr>
          <w:rFonts w:asciiTheme="majorHAnsi" w:hAnsiTheme="majorHAnsi" w:cstheme="majorHAnsi"/>
          <w:color w:val="000000"/>
          <w:sz w:val="22"/>
          <w:szCs w:val="22"/>
        </w:rPr>
        <w:t xml:space="preserve"> with civil society (it is expected to be finalised soon). Commitments include: </w:t>
      </w:r>
    </w:p>
    <w:p w14:paraId="00000091" w14:textId="77777777" w:rsidR="001D64D0" w:rsidRPr="006644B0" w:rsidRDefault="009245D5" w:rsidP="006644B0">
      <w:pPr>
        <w:numPr>
          <w:ilvl w:val="0"/>
          <w:numId w:val="5"/>
        </w:numPr>
        <w:pBdr>
          <w:top w:val="nil"/>
          <w:left w:val="nil"/>
          <w:bottom w:val="nil"/>
          <w:right w:val="nil"/>
          <w:between w:val="nil"/>
        </w:pBd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an aim to reduce coal exposure to zero; </w:t>
      </w:r>
    </w:p>
    <w:p w14:paraId="00000092" w14:textId="77777777" w:rsidR="001D64D0" w:rsidRPr="006644B0" w:rsidRDefault="009245D5" w:rsidP="006644B0">
      <w:pPr>
        <w:numPr>
          <w:ilvl w:val="0"/>
          <w:numId w:val="5"/>
        </w:numPr>
        <w:pBdr>
          <w:top w:val="nil"/>
          <w:left w:val="nil"/>
          <w:bottom w:val="nil"/>
          <w:right w:val="nil"/>
          <w:between w:val="nil"/>
        </w:pBd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not to invest in FI clients that do not have a plan to phase out investments in coal;</w:t>
      </w:r>
    </w:p>
    <w:p w14:paraId="00000093" w14:textId="77777777" w:rsidR="001D64D0" w:rsidRPr="006644B0" w:rsidRDefault="009245D5" w:rsidP="006644B0">
      <w:pPr>
        <w:numPr>
          <w:ilvl w:val="0"/>
          <w:numId w:val="5"/>
        </w:numPr>
        <w:pBdr>
          <w:top w:val="nil"/>
          <w:left w:val="nil"/>
          <w:bottom w:val="nil"/>
          <w:right w:val="nil"/>
          <w:between w:val="nil"/>
        </w:pBd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a new strategy for equity clients that includes specific targets on phasing out coal in clients’ entire portfolios.</w:t>
      </w:r>
    </w:p>
    <w:p w14:paraId="00000094" w14:textId="77777777" w:rsidR="001D64D0" w:rsidRPr="006644B0" w:rsidRDefault="001D64D0" w:rsidP="006644B0">
      <w:pPr>
        <w:spacing w:line="276" w:lineRule="auto"/>
        <w:rPr>
          <w:rFonts w:asciiTheme="majorHAnsi" w:hAnsiTheme="majorHAnsi" w:cstheme="majorHAnsi"/>
          <w:color w:val="000000"/>
          <w:sz w:val="22"/>
          <w:szCs w:val="22"/>
        </w:rPr>
      </w:pPr>
    </w:p>
    <w:p w14:paraId="00000095" w14:textId="77777777" w:rsidR="001D64D0" w:rsidRPr="006644B0" w:rsidRDefault="009245D5" w:rsidP="006644B0">
      <w:pPr>
        <w:shd w:val="clear" w:color="auto" w:fill="FFFFFF"/>
        <w:spacing w:line="276" w:lineRule="auto"/>
        <w:rPr>
          <w:rFonts w:asciiTheme="majorHAnsi" w:hAnsiTheme="majorHAnsi" w:cstheme="majorHAnsi"/>
          <w:sz w:val="22"/>
          <w:szCs w:val="22"/>
        </w:rPr>
      </w:pPr>
      <w:r w:rsidRPr="006644B0">
        <w:rPr>
          <w:rFonts w:asciiTheme="majorHAnsi" w:hAnsiTheme="majorHAnsi" w:cstheme="majorHAnsi"/>
          <w:b/>
          <w:color w:val="000000"/>
          <w:sz w:val="22"/>
          <w:szCs w:val="22"/>
        </w:rPr>
        <w:t>The UK government development finance institution (DFI) CDC’s policy</w:t>
      </w:r>
      <w:r w:rsidRPr="006644B0">
        <w:rPr>
          <w:rFonts w:asciiTheme="majorHAnsi" w:hAnsiTheme="majorHAnsi" w:cstheme="majorHAnsi"/>
          <w:b/>
          <w:color w:val="000000"/>
          <w:sz w:val="22"/>
          <w:szCs w:val="22"/>
          <w:vertAlign w:val="superscript"/>
        </w:rPr>
        <w:footnoteReference w:id="14"/>
      </w:r>
      <w:r w:rsidRPr="006644B0">
        <w:rPr>
          <w:rFonts w:asciiTheme="majorHAnsi" w:hAnsiTheme="majorHAnsi" w:cstheme="majorHAnsi"/>
          <w:b/>
          <w:color w:val="000000"/>
          <w:sz w:val="22"/>
          <w:szCs w:val="22"/>
        </w:rPr>
        <w:t xml:space="preserve"> states</w:t>
      </w:r>
      <w:r w:rsidRPr="006644B0">
        <w:rPr>
          <w:rFonts w:asciiTheme="majorHAnsi" w:hAnsiTheme="majorHAnsi" w:cstheme="majorHAnsi"/>
          <w:color w:val="000000"/>
          <w:sz w:val="22"/>
          <w:szCs w:val="22"/>
        </w:rPr>
        <w:t xml:space="preserve"> “</w:t>
      </w:r>
      <w:r w:rsidRPr="006644B0">
        <w:rPr>
          <w:rFonts w:asciiTheme="majorHAnsi" w:hAnsiTheme="majorHAnsi" w:cstheme="majorHAnsi"/>
          <w:sz w:val="22"/>
          <w:szCs w:val="22"/>
        </w:rPr>
        <w:t xml:space="preserve">Where CDC invests in banks or other Financial Intermediaries (FIs) and where CDC reasonably expects a significant proportion of that FI’s funds to be used to fund coal-fired power … the general presumption will be that CDC would </w:t>
      </w:r>
      <w:r w:rsidRPr="006644B0">
        <w:rPr>
          <w:rFonts w:asciiTheme="majorHAnsi" w:hAnsiTheme="majorHAnsi" w:cstheme="majorHAnsi"/>
          <w:sz w:val="22"/>
          <w:szCs w:val="22"/>
        </w:rPr>
        <w:lastRenderedPageBreak/>
        <w:t>seek a ‘carve out’ to exclude CDC funds being used for any new coal-fired thermal power plants.”</w:t>
      </w:r>
      <w:r w:rsidRPr="006644B0">
        <w:rPr>
          <w:rFonts w:asciiTheme="majorHAnsi" w:hAnsiTheme="majorHAnsi" w:cstheme="majorHAnsi"/>
          <w:color w:val="000000"/>
          <w:sz w:val="22"/>
          <w:szCs w:val="22"/>
        </w:rPr>
        <w:t xml:space="preserve"> </w:t>
      </w:r>
      <w:r w:rsidRPr="006644B0">
        <w:rPr>
          <w:rFonts w:asciiTheme="majorHAnsi" w:hAnsiTheme="majorHAnsi" w:cstheme="majorHAnsi"/>
          <w:sz w:val="22"/>
          <w:szCs w:val="22"/>
        </w:rPr>
        <w:t>Significant proportion “means that more than 10% of the FI’s current or predicted future loan portfolio is for coal-fired thermal power investments”</w:t>
      </w:r>
      <w:r w:rsidRPr="006644B0">
        <w:rPr>
          <w:rFonts w:asciiTheme="majorHAnsi" w:hAnsiTheme="majorHAnsi" w:cstheme="majorHAnsi"/>
          <w:sz w:val="22"/>
          <w:szCs w:val="22"/>
          <w:vertAlign w:val="superscript"/>
        </w:rPr>
        <w:footnoteReference w:id="15"/>
      </w:r>
      <w:r w:rsidRPr="006644B0">
        <w:rPr>
          <w:rFonts w:asciiTheme="majorHAnsi" w:hAnsiTheme="majorHAnsi" w:cstheme="majorHAnsi"/>
          <w:sz w:val="22"/>
          <w:szCs w:val="22"/>
        </w:rPr>
        <w:t>.</w:t>
      </w:r>
    </w:p>
    <w:p w14:paraId="00000096" w14:textId="77777777" w:rsidR="001D64D0" w:rsidRPr="006644B0" w:rsidRDefault="001D64D0" w:rsidP="006644B0">
      <w:pPr>
        <w:shd w:val="clear" w:color="auto" w:fill="FFFFFF"/>
        <w:spacing w:line="276" w:lineRule="auto"/>
        <w:rPr>
          <w:rFonts w:asciiTheme="majorHAnsi" w:hAnsiTheme="majorHAnsi" w:cstheme="majorHAnsi"/>
          <w:b/>
          <w:color w:val="000000"/>
          <w:sz w:val="22"/>
          <w:szCs w:val="22"/>
        </w:rPr>
      </w:pPr>
    </w:p>
    <w:p w14:paraId="00000097" w14:textId="084287F8" w:rsidR="001D64D0" w:rsidRPr="006644B0" w:rsidRDefault="009245D5" w:rsidP="006644B0">
      <w:pPr>
        <w:shd w:val="clear" w:color="auto" w:fill="FFFFFF"/>
        <w:spacing w:line="276" w:lineRule="auto"/>
        <w:rPr>
          <w:rFonts w:asciiTheme="majorHAnsi" w:hAnsiTheme="majorHAnsi" w:cstheme="majorHAnsi"/>
          <w:sz w:val="22"/>
          <w:szCs w:val="22"/>
        </w:rPr>
      </w:pPr>
      <w:r w:rsidRPr="006644B0">
        <w:rPr>
          <w:rFonts w:asciiTheme="majorHAnsi" w:hAnsiTheme="majorHAnsi" w:cstheme="majorHAnsi"/>
          <w:b/>
          <w:color w:val="000000"/>
          <w:sz w:val="22"/>
          <w:szCs w:val="22"/>
        </w:rPr>
        <w:t>The Dutch DFI, FMO,</w:t>
      </w:r>
      <w:r w:rsidRPr="006644B0">
        <w:rPr>
          <w:rFonts w:asciiTheme="majorHAnsi" w:hAnsiTheme="majorHAnsi" w:cstheme="majorHAnsi"/>
          <w:color w:val="000000"/>
          <w:sz w:val="22"/>
          <w:szCs w:val="22"/>
        </w:rPr>
        <w:t xml:space="preserve"> states: “</w:t>
      </w:r>
      <w:r w:rsidRPr="006644B0">
        <w:rPr>
          <w:rFonts w:asciiTheme="majorHAnsi" w:hAnsiTheme="majorHAnsi" w:cstheme="majorHAnsi"/>
          <w:sz w:val="22"/>
          <w:szCs w:val="22"/>
        </w:rPr>
        <w:t>FMO can provide loans to banks and non-bank financial institutions that provide loans to coal-fired power projects, coal mines and dedicated thermal coal transport/infrastructure, to a maximum threshold of 20</w:t>
      </w:r>
      <w:r w:rsidR="00044172">
        <w:rPr>
          <w:rFonts w:asciiTheme="majorHAnsi" w:hAnsiTheme="majorHAnsi" w:cstheme="majorHAnsi"/>
          <w:sz w:val="22"/>
          <w:szCs w:val="22"/>
        </w:rPr>
        <w:t>%</w:t>
      </w:r>
      <w:r w:rsidRPr="006644B0">
        <w:rPr>
          <w:rFonts w:asciiTheme="majorHAnsi" w:hAnsiTheme="majorHAnsi" w:cstheme="majorHAnsi"/>
          <w:sz w:val="22"/>
          <w:szCs w:val="22"/>
        </w:rPr>
        <w:t xml:space="preserve"> of the Financial Intermediary’s total balance sheet or total investment portfolio”</w:t>
      </w:r>
      <w:r w:rsidRPr="006644B0">
        <w:rPr>
          <w:rFonts w:asciiTheme="majorHAnsi" w:hAnsiTheme="majorHAnsi" w:cstheme="majorHAnsi"/>
          <w:sz w:val="22"/>
          <w:szCs w:val="22"/>
          <w:vertAlign w:val="superscript"/>
        </w:rPr>
        <w:footnoteReference w:id="16"/>
      </w:r>
      <w:r w:rsidRPr="006644B0">
        <w:rPr>
          <w:rFonts w:asciiTheme="majorHAnsi" w:hAnsiTheme="majorHAnsi" w:cstheme="majorHAnsi"/>
          <w:sz w:val="22"/>
          <w:szCs w:val="22"/>
        </w:rPr>
        <w:t>.</w:t>
      </w:r>
    </w:p>
    <w:p w14:paraId="00000098" w14:textId="77777777" w:rsidR="001D64D0" w:rsidRPr="006644B0" w:rsidRDefault="001D64D0" w:rsidP="006644B0">
      <w:pPr>
        <w:shd w:val="clear" w:color="auto" w:fill="FFFFFF"/>
        <w:spacing w:line="276" w:lineRule="auto"/>
        <w:rPr>
          <w:rFonts w:asciiTheme="majorHAnsi" w:hAnsiTheme="majorHAnsi" w:cstheme="majorHAnsi"/>
          <w:sz w:val="22"/>
          <w:szCs w:val="22"/>
        </w:rPr>
      </w:pPr>
    </w:p>
    <w:p w14:paraId="00000099" w14:textId="77777777" w:rsidR="001D64D0" w:rsidRPr="006644B0" w:rsidRDefault="009245D5" w:rsidP="006644B0">
      <w:pPr>
        <w:pBdr>
          <w:top w:val="nil"/>
          <w:left w:val="nil"/>
          <w:bottom w:val="nil"/>
          <w:right w:val="nil"/>
          <w:between w:val="nil"/>
        </w:pBdr>
        <w:spacing w:line="276" w:lineRule="auto"/>
        <w:jc w:val="both"/>
        <w:rPr>
          <w:rFonts w:asciiTheme="majorHAnsi" w:hAnsiTheme="majorHAnsi" w:cstheme="majorHAnsi"/>
          <w:b/>
          <w:color w:val="000000"/>
          <w:sz w:val="22"/>
          <w:szCs w:val="22"/>
        </w:rPr>
      </w:pPr>
      <w:r w:rsidRPr="006644B0">
        <w:rPr>
          <w:rFonts w:asciiTheme="majorHAnsi" w:hAnsiTheme="majorHAnsi" w:cstheme="majorHAnsi"/>
          <w:b/>
          <w:color w:val="000000"/>
          <w:sz w:val="22"/>
          <w:szCs w:val="22"/>
        </w:rPr>
        <w:t>Proposal for reform to ESF:</w:t>
      </w:r>
      <w:r w:rsidRPr="006644B0">
        <w:rPr>
          <w:rFonts w:asciiTheme="majorHAnsi" w:hAnsiTheme="majorHAnsi" w:cstheme="majorHAnsi"/>
          <w:color w:val="000000"/>
          <w:sz w:val="22"/>
          <w:szCs w:val="22"/>
        </w:rPr>
        <w:t xml:space="preserve"> In this rapidly-developing space, the AIIB has the opportunity to join the leaders in ensuring the transformation necessary to avert catastrophic climate change. To do so, the AIIB should: </w:t>
      </w:r>
    </w:p>
    <w:p w14:paraId="0000009A" w14:textId="77777777" w:rsidR="001D64D0" w:rsidRPr="006644B0" w:rsidRDefault="009245D5" w:rsidP="006644B0">
      <w:pPr>
        <w:numPr>
          <w:ilvl w:val="0"/>
          <w:numId w:val="2"/>
        </w:numPr>
        <w:pBdr>
          <w:top w:val="nil"/>
          <w:left w:val="nil"/>
          <w:bottom w:val="nil"/>
          <w:right w:val="nil"/>
          <w:between w:val="nil"/>
        </w:pBdr>
        <w:spacing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Adopt a requirement for all FI clients to </w:t>
      </w:r>
      <w:r w:rsidRPr="006644B0">
        <w:rPr>
          <w:rFonts w:asciiTheme="majorHAnsi" w:hAnsiTheme="majorHAnsi" w:cstheme="majorHAnsi"/>
          <w:b/>
          <w:color w:val="000000"/>
          <w:sz w:val="22"/>
          <w:szCs w:val="22"/>
        </w:rPr>
        <w:t>track and disclose coal and other fossil fuel investments</w:t>
      </w:r>
      <w:r w:rsidRPr="006644B0">
        <w:rPr>
          <w:rFonts w:asciiTheme="majorHAnsi" w:hAnsiTheme="majorHAnsi" w:cstheme="majorHAnsi"/>
          <w:color w:val="000000"/>
          <w:sz w:val="22"/>
          <w:szCs w:val="22"/>
        </w:rPr>
        <w:t>;</w:t>
      </w:r>
    </w:p>
    <w:p w14:paraId="0000009B" w14:textId="77777777" w:rsidR="001D64D0" w:rsidRPr="006644B0" w:rsidRDefault="009245D5" w:rsidP="006644B0">
      <w:pPr>
        <w:numPr>
          <w:ilvl w:val="0"/>
          <w:numId w:val="2"/>
        </w:numPr>
        <w:pBdr>
          <w:top w:val="nil"/>
          <w:left w:val="nil"/>
          <w:bottom w:val="nil"/>
          <w:right w:val="nil"/>
          <w:between w:val="nil"/>
        </w:pBdr>
        <w:spacing w:after="80"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Ensure that none of its investments results in an </w:t>
      </w:r>
      <w:r w:rsidRPr="006644B0">
        <w:rPr>
          <w:rFonts w:asciiTheme="majorHAnsi" w:hAnsiTheme="majorHAnsi" w:cstheme="majorHAnsi"/>
          <w:b/>
          <w:color w:val="000000"/>
          <w:sz w:val="22"/>
          <w:szCs w:val="22"/>
        </w:rPr>
        <w:t>increase in coal use</w:t>
      </w:r>
      <w:r w:rsidRPr="006644B0">
        <w:rPr>
          <w:rFonts w:asciiTheme="majorHAnsi" w:hAnsiTheme="majorHAnsi" w:cstheme="majorHAnsi"/>
          <w:color w:val="000000"/>
          <w:sz w:val="22"/>
          <w:szCs w:val="22"/>
        </w:rPr>
        <w:t>: whether for power generation or industrial uses, or for associated facilities such as transmission lines and railways or ports primarily meant for the transportation of coal;</w:t>
      </w:r>
    </w:p>
    <w:p w14:paraId="0000009C" w14:textId="77777777" w:rsidR="001D64D0" w:rsidRPr="006644B0" w:rsidRDefault="009245D5" w:rsidP="006644B0">
      <w:pPr>
        <w:numPr>
          <w:ilvl w:val="0"/>
          <w:numId w:val="2"/>
        </w:numPr>
        <w:pBdr>
          <w:top w:val="nil"/>
          <w:left w:val="nil"/>
          <w:bottom w:val="nil"/>
          <w:right w:val="nil"/>
          <w:between w:val="nil"/>
        </w:pBdr>
        <w:spacing w:after="80" w:line="276" w:lineRule="auto"/>
        <w:rPr>
          <w:rFonts w:asciiTheme="majorHAnsi" w:hAnsiTheme="majorHAnsi" w:cstheme="majorHAnsi"/>
          <w:color w:val="000000"/>
          <w:sz w:val="22"/>
          <w:szCs w:val="22"/>
        </w:rPr>
      </w:pPr>
      <w:r w:rsidRPr="006644B0">
        <w:rPr>
          <w:rFonts w:asciiTheme="majorHAnsi" w:hAnsiTheme="majorHAnsi" w:cstheme="majorHAnsi"/>
          <w:b/>
          <w:color w:val="000000"/>
          <w:sz w:val="22"/>
          <w:szCs w:val="22"/>
        </w:rPr>
        <w:t>Exclude upstream oil and gas</w:t>
      </w:r>
      <w:r w:rsidRPr="006644B0">
        <w:rPr>
          <w:rFonts w:asciiTheme="majorHAnsi" w:hAnsiTheme="majorHAnsi" w:cstheme="majorHAnsi"/>
          <w:color w:val="000000"/>
          <w:sz w:val="22"/>
          <w:szCs w:val="22"/>
        </w:rPr>
        <w:t>;</w:t>
      </w:r>
    </w:p>
    <w:p w14:paraId="0000009D" w14:textId="2C33C9D0" w:rsidR="001D64D0" w:rsidRPr="006644B0" w:rsidRDefault="009245D5" w:rsidP="006644B0">
      <w:pPr>
        <w:numPr>
          <w:ilvl w:val="0"/>
          <w:numId w:val="2"/>
        </w:numPr>
        <w:pBdr>
          <w:top w:val="nil"/>
          <w:left w:val="nil"/>
          <w:bottom w:val="nil"/>
          <w:right w:val="nil"/>
          <w:between w:val="nil"/>
        </w:pBdr>
        <w:spacing w:after="80" w:line="276" w:lineRule="auto"/>
        <w:rPr>
          <w:rFonts w:asciiTheme="majorHAnsi" w:hAnsiTheme="majorHAnsi" w:cstheme="majorHAnsi"/>
          <w:color w:val="000000"/>
          <w:sz w:val="22"/>
          <w:szCs w:val="22"/>
        </w:rPr>
      </w:pPr>
      <w:r w:rsidRPr="006644B0">
        <w:rPr>
          <w:rFonts w:asciiTheme="majorHAnsi" w:hAnsiTheme="majorHAnsi" w:cstheme="majorHAnsi"/>
          <w:sz w:val="22"/>
          <w:szCs w:val="22"/>
        </w:rPr>
        <w:t>N</w:t>
      </w:r>
      <w:r w:rsidRPr="006644B0">
        <w:rPr>
          <w:rFonts w:asciiTheme="majorHAnsi" w:hAnsiTheme="majorHAnsi" w:cstheme="majorHAnsi"/>
          <w:color w:val="000000"/>
          <w:sz w:val="22"/>
          <w:szCs w:val="22"/>
        </w:rPr>
        <w:t xml:space="preserve">ot invest in clients with more than </w:t>
      </w:r>
      <w:r w:rsidRPr="006644B0">
        <w:rPr>
          <w:rFonts w:asciiTheme="majorHAnsi" w:hAnsiTheme="majorHAnsi" w:cstheme="majorHAnsi"/>
          <w:b/>
          <w:color w:val="000000"/>
          <w:sz w:val="22"/>
          <w:szCs w:val="22"/>
        </w:rPr>
        <w:t>5</w:t>
      </w:r>
      <w:r w:rsidR="00044172">
        <w:rPr>
          <w:rFonts w:asciiTheme="majorHAnsi" w:hAnsiTheme="majorHAnsi" w:cstheme="majorHAnsi"/>
          <w:b/>
          <w:color w:val="000000"/>
          <w:sz w:val="22"/>
          <w:szCs w:val="22"/>
        </w:rPr>
        <w:t xml:space="preserve"> per cent</w:t>
      </w:r>
      <w:r w:rsidRPr="006644B0">
        <w:rPr>
          <w:rFonts w:asciiTheme="majorHAnsi" w:hAnsiTheme="majorHAnsi" w:cstheme="majorHAnsi"/>
          <w:b/>
          <w:color w:val="000000"/>
          <w:sz w:val="22"/>
          <w:szCs w:val="22"/>
        </w:rPr>
        <w:t xml:space="preserve"> portfolio exposure to coal</w:t>
      </w:r>
      <w:r w:rsidRPr="006644B0">
        <w:rPr>
          <w:rFonts w:asciiTheme="majorHAnsi" w:hAnsiTheme="majorHAnsi" w:cstheme="majorHAnsi"/>
          <w:color w:val="000000"/>
          <w:sz w:val="22"/>
          <w:szCs w:val="22"/>
        </w:rPr>
        <w:t>;</w:t>
      </w:r>
    </w:p>
    <w:p w14:paraId="0000009E" w14:textId="77777777" w:rsidR="001D64D0" w:rsidRPr="006644B0" w:rsidRDefault="009245D5" w:rsidP="006644B0">
      <w:pPr>
        <w:numPr>
          <w:ilvl w:val="0"/>
          <w:numId w:val="2"/>
        </w:numPr>
        <w:pBdr>
          <w:top w:val="nil"/>
          <w:left w:val="nil"/>
          <w:bottom w:val="nil"/>
          <w:right w:val="nil"/>
          <w:between w:val="nil"/>
        </w:pBdr>
        <w:spacing w:after="80" w:line="276" w:lineRule="auto"/>
        <w:rPr>
          <w:rFonts w:asciiTheme="majorHAnsi" w:hAnsiTheme="majorHAnsi" w:cstheme="majorHAnsi"/>
          <w:color w:val="000000"/>
          <w:sz w:val="22"/>
          <w:szCs w:val="22"/>
        </w:rPr>
      </w:pPr>
      <w:r w:rsidRPr="006644B0">
        <w:rPr>
          <w:rFonts w:asciiTheme="majorHAnsi" w:hAnsiTheme="majorHAnsi" w:cstheme="majorHAnsi"/>
          <w:color w:val="000000"/>
          <w:sz w:val="22"/>
          <w:szCs w:val="22"/>
        </w:rPr>
        <w:t xml:space="preserve">Invest only in FI clients who commit to develop a </w:t>
      </w:r>
      <w:r w:rsidRPr="006644B0">
        <w:rPr>
          <w:rFonts w:asciiTheme="majorHAnsi" w:hAnsiTheme="majorHAnsi" w:cstheme="majorHAnsi"/>
          <w:b/>
          <w:color w:val="000000"/>
          <w:sz w:val="22"/>
          <w:szCs w:val="22"/>
        </w:rPr>
        <w:t>portfolio decarbonisation plan</w:t>
      </w:r>
      <w:r w:rsidRPr="006644B0">
        <w:rPr>
          <w:rFonts w:asciiTheme="majorHAnsi" w:hAnsiTheme="majorHAnsi" w:cstheme="majorHAnsi"/>
          <w:color w:val="000000"/>
          <w:sz w:val="22"/>
          <w:szCs w:val="22"/>
        </w:rPr>
        <w:t xml:space="preserve"> to achieve emissions reductions in line with targets set under the Paris Climate Agreement.</w:t>
      </w:r>
    </w:p>
    <w:p w14:paraId="0000009F" w14:textId="77777777" w:rsidR="001D64D0" w:rsidRPr="006644B0" w:rsidRDefault="001D64D0" w:rsidP="006644B0">
      <w:pPr>
        <w:pBdr>
          <w:top w:val="nil"/>
          <w:left w:val="nil"/>
          <w:bottom w:val="nil"/>
          <w:right w:val="nil"/>
          <w:between w:val="nil"/>
        </w:pBdr>
        <w:shd w:val="clear" w:color="auto" w:fill="FFFFFF"/>
        <w:spacing w:line="276" w:lineRule="auto"/>
        <w:ind w:left="720" w:hanging="720"/>
        <w:rPr>
          <w:rFonts w:asciiTheme="majorHAnsi" w:hAnsiTheme="majorHAnsi" w:cstheme="majorHAnsi"/>
          <w:color w:val="000000"/>
          <w:sz w:val="22"/>
          <w:szCs w:val="22"/>
        </w:rPr>
      </w:pPr>
    </w:p>
    <w:p w14:paraId="000000A0" w14:textId="77777777" w:rsidR="001D64D0" w:rsidRPr="006644B0" w:rsidRDefault="001D64D0" w:rsidP="006644B0">
      <w:pPr>
        <w:spacing w:line="276" w:lineRule="auto"/>
        <w:jc w:val="both"/>
        <w:rPr>
          <w:rFonts w:asciiTheme="majorHAnsi" w:hAnsiTheme="majorHAnsi" w:cstheme="majorHAnsi"/>
          <w:color w:val="000000"/>
          <w:sz w:val="22"/>
          <w:szCs w:val="22"/>
        </w:rPr>
      </w:pPr>
    </w:p>
    <w:p w14:paraId="000000A1" w14:textId="77777777" w:rsidR="001D64D0" w:rsidRPr="006644B0" w:rsidRDefault="001D64D0" w:rsidP="006644B0">
      <w:pPr>
        <w:spacing w:line="276" w:lineRule="auto"/>
        <w:jc w:val="both"/>
        <w:rPr>
          <w:rFonts w:asciiTheme="majorHAnsi" w:hAnsiTheme="majorHAnsi" w:cstheme="majorHAnsi"/>
          <w:color w:val="000000"/>
          <w:sz w:val="22"/>
          <w:szCs w:val="22"/>
        </w:rPr>
      </w:pPr>
    </w:p>
    <w:p w14:paraId="000000A2" w14:textId="77777777" w:rsidR="001D64D0" w:rsidRPr="006644B0" w:rsidRDefault="001D64D0" w:rsidP="006644B0">
      <w:pPr>
        <w:spacing w:line="276" w:lineRule="auto"/>
        <w:jc w:val="both"/>
        <w:rPr>
          <w:rFonts w:asciiTheme="majorHAnsi" w:hAnsiTheme="majorHAnsi" w:cstheme="majorHAnsi"/>
          <w:color w:val="000000"/>
          <w:sz w:val="22"/>
          <w:szCs w:val="22"/>
        </w:rPr>
      </w:pPr>
    </w:p>
    <w:p w14:paraId="000000A3" w14:textId="77777777" w:rsidR="001D64D0" w:rsidRPr="006644B0" w:rsidRDefault="001D64D0" w:rsidP="006644B0">
      <w:pPr>
        <w:spacing w:line="276" w:lineRule="auto"/>
        <w:jc w:val="both"/>
        <w:rPr>
          <w:rFonts w:asciiTheme="majorHAnsi" w:hAnsiTheme="majorHAnsi" w:cstheme="majorHAnsi"/>
          <w:color w:val="000000"/>
          <w:sz w:val="22"/>
          <w:szCs w:val="22"/>
        </w:rPr>
      </w:pPr>
    </w:p>
    <w:p w14:paraId="000000A4" w14:textId="77777777" w:rsidR="001D64D0" w:rsidRPr="006644B0" w:rsidRDefault="001D64D0" w:rsidP="006644B0">
      <w:pPr>
        <w:spacing w:line="276" w:lineRule="auto"/>
        <w:rPr>
          <w:rFonts w:asciiTheme="majorHAnsi" w:hAnsiTheme="majorHAnsi" w:cstheme="majorHAnsi"/>
          <w:sz w:val="22"/>
          <w:szCs w:val="22"/>
        </w:rPr>
      </w:pPr>
    </w:p>
    <w:sectPr w:rsidR="001D64D0" w:rsidRPr="006644B0">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6AE8D" w14:textId="77777777" w:rsidR="00CF374E" w:rsidRDefault="00CF374E">
      <w:r>
        <w:separator/>
      </w:r>
    </w:p>
  </w:endnote>
  <w:endnote w:type="continuationSeparator" w:id="0">
    <w:p w14:paraId="3F2B5646" w14:textId="77777777" w:rsidR="00CF374E" w:rsidRDefault="00CF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F5FE" w14:textId="0C15F8C4" w:rsidR="00FF6DEB" w:rsidRDefault="00FF6DEB" w:rsidP="00FF6DEB">
    <w:pPr>
      <w:pStyle w:val="Header"/>
    </w:pPr>
    <w:proofErr w:type="spellStart"/>
    <w:r>
      <w:t>Sarphatistraat</w:t>
    </w:r>
    <w:proofErr w:type="spellEnd"/>
    <w:r>
      <w:t xml:space="preserve"> 30, 1018GL Amsterdam, The Netherlands</w:t>
    </w:r>
  </w:p>
  <w:p w14:paraId="0BD7722E" w14:textId="77777777" w:rsidR="00FF6DEB" w:rsidRDefault="00FF6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10702" w14:textId="77777777" w:rsidR="00CF374E" w:rsidRDefault="00CF374E">
      <w:r>
        <w:separator/>
      </w:r>
    </w:p>
  </w:footnote>
  <w:footnote w:type="continuationSeparator" w:id="0">
    <w:p w14:paraId="07FE4E8B" w14:textId="77777777" w:rsidR="00CF374E" w:rsidRDefault="00CF374E">
      <w:r>
        <w:continuationSeparator/>
      </w:r>
    </w:p>
  </w:footnote>
  <w:footnote w:id="1">
    <w:p w14:paraId="48F2E847" w14:textId="6C539CD8" w:rsidR="00D30601" w:rsidRPr="003D67F3" w:rsidRDefault="00D30601">
      <w:pPr>
        <w:pStyle w:val="FootnoteText"/>
        <w:rPr>
          <w:sz w:val="16"/>
          <w:szCs w:val="16"/>
        </w:rPr>
      </w:pPr>
      <w:r w:rsidRPr="003D67F3">
        <w:rPr>
          <w:rStyle w:val="FootnoteReference"/>
          <w:sz w:val="16"/>
          <w:szCs w:val="16"/>
        </w:rPr>
        <w:footnoteRef/>
      </w:r>
      <w:r w:rsidRPr="003D67F3">
        <w:rPr>
          <w:sz w:val="16"/>
          <w:szCs w:val="16"/>
        </w:rPr>
        <w:t xml:space="preserve"> See: </w:t>
      </w:r>
      <w:hyperlink r:id="rId1" w:history="1">
        <w:r w:rsidRPr="003D67F3">
          <w:rPr>
            <w:rStyle w:val="Hyperlink"/>
            <w:sz w:val="16"/>
            <w:szCs w:val="16"/>
          </w:rPr>
          <w:t>https://bic-europe.org/news/aiib-urged-to-take-on-lessons-learned-in-risky-lending/</w:t>
        </w:r>
      </w:hyperlink>
    </w:p>
    <w:p w14:paraId="67ECD37F" w14:textId="77777777" w:rsidR="00D30601" w:rsidRDefault="00D30601">
      <w:pPr>
        <w:pStyle w:val="FootnoteText"/>
      </w:pPr>
    </w:p>
  </w:footnote>
  <w:footnote w:id="2">
    <w:p w14:paraId="000000A5" w14:textId="77777777" w:rsidR="001D64D0" w:rsidRPr="003D67F3" w:rsidRDefault="009245D5">
      <w:pPr>
        <w:pBdr>
          <w:top w:val="nil"/>
          <w:left w:val="nil"/>
          <w:bottom w:val="nil"/>
          <w:right w:val="nil"/>
          <w:between w:val="nil"/>
        </w:pBdr>
        <w:rPr>
          <w:color w:val="000000"/>
          <w:sz w:val="16"/>
          <w:szCs w:val="16"/>
        </w:rPr>
      </w:pPr>
      <w:r w:rsidRPr="003D67F3">
        <w:rPr>
          <w:sz w:val="16"/>
          <w:szCs w:val="16"/>
          <w:vertAlign w:val="superscript"/>
        </w:rPr>
        <w:footnoteRef/>
      </w:r>
      <w:r w:rsidRPr="003D67F3">
        <w:rPr>
          <w:color w:val="000000"/>
          <w:sz w:val="16"/>
          <w:szCs w:val="16"/>
        </w:rPr>
        <w:t xml:space="preserve"> See: </w:t>
      </w:r>
      <w:hyperlink r:id="rId2">
        <w:r w:rsidRPr="003D67F3">
          <w:rPr>
            <w:color w:val="0563C1"/>
            <w:sz w:val="16"/>
            <w:szCs w:val="16"/>
            <w:u w:val="single"/>
          </w:rPr>
          <w:t>https://www.inclusivedevelopment.net/wp-content/uploads/2018/09/Moving-beyond-rhetoric_FINAL.pdf</w:t>
        </w:r>
      </w:hyperlink>
    </w:p>
    <w:p w14:paraId="000000A6" w14:textId="77777777" w:rsidR="001D64D0" w:rsidRPr="003D67F3" w:rsidRDefault="009245D5">
      <w:pPr>
        <w:pBdr>
          <w:top w:val="nil"/>
          <w:left w:val="nil"/>
          <w:bottom w:val="nil"/>
          <w:right w:val="nil"/>
          <w:between w:val="nil"/>
        </w:pBdr>
        <w:rPr>
          <w:color w:val="000000"/>
          <w:sz w:val="16"/>
          <w:szCs w:val="16"/>
        </w:rPr>
      </w:pPr>
      <w:r w:rsidRPr="003D67F3">
        <w:rPr>
          <w:color w:val="000000"/>
          <w:sz w:val="16"/>
          <w:szCs w:val="16"/>
        </w:rPr>
        <w:t xml:space="preserve">and </w:t>
      </w:r>
      <w:hyperlink r:id="rId3">
        <w:r w:rsidRPr="003D67F3">
          <w:rPr>
            <w:color w:val="0563C1"/>
            <w:sz w:val="16"/>
            <w:szCs w:val="16"/>
            <w:u w:val="single"/>
          </w:rPr>
          <w:t>https://www.inclusivedevelopment.net/wp-content/uploads/2019/01/Financing-development-in-Myanmar-FINAL.pdf</w:t>
        </w:r>
      </w:hyperlink>
    </w:p>
  </w:footnote>
  <w:footnote w:id="3">
    <w:p w14:paraId="000000A7" w14:textId="77777777" w:rsidR="001D64D0" w:rsidRPr="003D67F3" w:rsidRDefault="009245D5">
      <w:pPr>
        <w:pBdr>
          <w:top w:val="nil"/>
          <w:left w:val="nil"/>
          <w:bottom w:val="nil"/>
          <w:right w:val="nil"/>
          <w:between w:val="nil"/>
        </w:pBdr>
        <w:rPr>
          <w:color w:val="000000"/>
          <w:sz w:val="16"/>
          <w:szCs w:val="16"/>
        </w:rPr>
      </w:pPr>
      <w:r w:rsidRPr="003D67F3">
        <w:rPr>
          <w:sz w:val="16"/>
          <w:szCs w:val="16"/>
          <w:vertAlign w:val="superscript"/>
        </w:rPr>
        <w:footnoteRef/>
      </w:r>
      <w:r w:rsidRPr="003D67F3">
        <w:rPr>
          <w:color w:val="000000"/>
          <w:sz w:val="16"/>
          <w:szCs w:val="16"/>
        </w:rPr>
        <w:t xml:space="preserve"> See: </w:t>
      </w:r>
      <w:hyperlink r:id="rId4">
        <w:r w:rsidRPr="003D67F3">
          <w:rPr>
            <w:color w:val="0563C1"/>
            <w:sz w:val="16"/>
            <w:szCs w:val="16"/>
            <w:u w:val="single"/>
          </w:rPr>
          <w:t>https://bic-europe.org/wp-content/uploads/2018/06/Risky-Venture_FINAL.pdf</w:t>
        </w:r>
      </w:hyperlink>
    </w:p>
  </w:footnote>
  <w:footnote w:id="4">
    <w:p w14:paraId="000000A8" w14:textId="77777777" w:rsidR="001D64D0" w:rsidRPr="003D67F3" w:rsidRDefault="009245D5">
      <w:pPr>
        <w:pBdr>
          <w:top w:val="nil"/>
          <w:left w:val="nil"/>
          <w:bottom w:val="nil"/>
          <w:right w:val="nil"/>
          <w:between w:val="nil"/>
        </w:pBdr>
        <w:rPr>
          <w:color w:val="000000"/>
          <w:sz w:val="16"/>
          <w:szCs w:val="16"/>
        </w:rPr>
      </w:pPr>
      <w:r w:rsidRPr="003D67F3">
        <w:rPr>
          <w:sz w:val="16"/>
          <w:szCs w:val="16"/>
          <w:vertAlign w:val="superscript"/>
        </w:rPr>
        <w:footnoteRef/>
      </w:r>
      <w:r w:rsidRPr="003D67F3">
        <w:rPr>
          <w:color w:val="000000"/>
          <w:sz w:val="16"/>
          <w:szCs w:val="16"/>
        </w:rPr>
        <w:t xml:space="preserve"> See: </w:t>
      </w:r>
      <w:hyperlink r:id="rId5">
        <w:r w:rsidRPr="003D67F3">
          <w:rPr>
            <w:color w:val="0563C1"/>
            <w:sz w:val="16"/>
            <w:szCs w:val="16"/>
            <w:u w:val="single"/>
          </w:rPr>
          <w:t>https://www.cenfa.org/publications/briefing-note-aiibs-investment-in-the-niif-why-is-it-a-risky-venture/</w:t>
        </w:r>
      </w:hyperlink>
    </w:p>
    <w:p w14:paraId="000000A9" w14:textId="77777777" w:rsidR="001D64D0" w:rsidRDefault="001D64D0">
      <w:pPr>
        <w:pBdr>
          <w:top w:val="nil"/>
          <w:left w:val="nil"/>
          <w:bottom w:val="nil"/>
          <w:right w:val="nil"/>
          <w:between w:val="nil"/>
        </w:pBdr>
        <w:rPr>
          <w:color w:val="000000"/>
          <w:sz w:val="20"/>
          <w:szCs w:val="20"/>
        </w:rPr>
      </w:pPr>
    </w:p>
  </w:footnote>
  <w:footnote w:id="5">
    <w:p w14:paraId="7CA4818A" w14:textId="31215E72" w:rsidR="009708A9" w:rsidRPr="009708A9" w:rsidRDefault="009708A9">
      <w:pPr>
        <w:pStyle w:val="FootnoteText"/>
        <w:rPr>
          <w:sz w:val="16"/>
          <w:szCs w:val="16"/>
        </w:rPr>
      </w:pPr>
      <w:r w:rsidRPr="009708A9">
        <w:rPr>
          <w:rStyle w:val="FootnoteReference"/>
          <w:sz w:val="16"/>
          <w:szCs w:val="16"/>
        </w:rPr>
        <w:footnoteRef/>
      </w:r>
      <w:r w:rsidRPr="009708A9">
        <w:rPr>
          <w:sz w:val="16"/>
          <w:szCs w:val="16"/>
        </w:rPr>
        <w:t xml:space="preserve"> See: </w:t>
      </w:r>
      <w:hyperlink r:id="rId6" w:history="1">
        <w:r w:rsidRPr="009708A9">
          <w:rPr>
            <w:rStyle w:val="Hyperlink"/>
            <w:sz w:val="16"/>
            <w:szCs w:val="16"/>
          </w:rPr>
          <w:t>http://www.cao-ombudsman.org/newsroom/documents/FIAUDIT.htm</w:t>
        </w:r>
      </w:hyperlink>
      <w:r w:rsidRPr="009708A9">
        <w:rPr>
          <w:sz w:val="16"/>
          <w:szCs w:val="16"/>
        </w:rPr>
        <w:t xml:space="preserve"> and </w:t>
      </w:r>
      <w:hyperlink r:id="rId7" w:history="1">
        <w:r w:rsidRPr="009708A9">
          <w:rPr>
            <w:rStyle w:val="Hyperlink"/>
            <w:sz w:val="16"/>
            <w:szCs w:val="16"/>
          </w:rPr>
          <w:t>https://www.inclusivedevelopment.net/what-we-do/campaigns/outsourcing-development/</w:t>
        </w:r>
      </w:hyperlink>
    </w:p>
    <w:p w14:paraId="78DFB3CB" w14:textId="77777777" w:rsidR="009708A9" w:rsidRDefault="009708A9">
      <w:pPr>
        <w:pStyle w:val="FootnoteText"/>
      </w:pPr>
    </w:p>
    <w:p w14:paraId="74D62F76" w14:textId="77777777" w:rsidR="009708A9" w:rsidRDefault="009708A9">
      <w:pPr>
        <w:pStyle w:val="FootnoteText"/>
      </w:pPr>
    </w:p>
  </w:footnote>
  <w:footnote w:id="6">
    <w:p w14:paraId="000000AA" w14:textId="77777777" w:rsidR="001D64D0" w:rsidRDefault="009245D5">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Green Climate Fund GCF/B.21/34 p 71 Annex XV List of conditions and recommendations.</w:t>
      </w:r>
    </w:p>
  </w:footnote>
  <w:footnote w:id="7">
    <w:p w14:paraId="000000AB" w14:textId="77777777" w:rsidR="001D64D0" w:rsidRDefault="009245D5">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Oxfam (2018) Open Books See </w:t>
      </w:r>
      <w:hyperlink r:id="rId8">
        <w:r>
          <w:rPr>
            <w:color w:val="0563C1"/>
            <w:sz w:val="16"/>
            <w:szCs w:val="16"/>
            <w:u w:val="single"/>
          </w:rPr>
          <w:t>https://oxfamilibrary.openrepository.com/bitstream/handle/10546/620559/bp-financial-institutions-disclosure-161018-en.pdf</w:t>
        </w:r>
      </w:hyperlink>
    </w:p>
  </w:footnote>
  <w:footnote w:id="8">
    <w:p w14:paraId="000000AC" w14:textId="77777777" w:rsidR="001D64D0" w:rsidRDefault="009245D5">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See for example: </w:t>
      </w:r>
      <w:proofErr w:type="spellStart"/>
      <w:r>
        <w:rPr>
          <w:color w:val="000000"/>
          <w:sz w:val="16"/>
          <w:szCs w:val="16"/>
        </w:rPr>
        <w:t>AgriVie</w:t>
      </w:r>
      <w:proofErr w:type="spellEnd"/>
      <w:r>
        <w:rPr>
          <w:color w:val="000000"/>
          <w:sz w:val="16"/>
          <w:szCs w:val="16"/>
        </w:rPr>
        <w:t xml:space="preserve"> case in Uganda (</w:t>
      </w:r>
      <w:hyperlink r:id="rId9">
        <w:r>
          <w:rPr>
            <w:color w:val="0563C1"/>
            <w:sz w:val="16"/>
            <w:szCs w:val="16"/>
            <w:u w:val="single"/>
          </w:rPr>
          <w:t>http://www.cao-ombudsman.org/cases/case_detail.aspx?id=180</w:t>
        </w:r>
      </w:hyperlink>
      <w:r>
        <w:rPr>
          <w:color w:val="000000"/>
          <w:sz w:val="16"/>
          <w:szCs w:val="16"/>
        </w:rPr>
        <w:t xml:space="preserve">); GMR </w:t>
      </w:r>
      <w:proofErr w:type="spellStart"/>
      <w:r>
        <w:rPr>
          <w:color w:val="000000"/>
          <w:sz w:val="16"/>
          <w:szCs w:val="16"/>
        </w:rPr>
        <w:t>Kamalanga</w:t>
      </w:r>
      <w:proofErr w:type="spellEnd"/>
      <w:r>
        <w:rPr>
          <w:color w:val="000000"/>
          <w:sz w:val="16"/>
          <w:szCs w:val="16"/>
        </w:rPr>
        <w:t xml:space="preserve"> case in India (</w:t>
      </w:r>
      <w:hyperlink r:id="rId10">
        <w:r>
          <w:rPr>
            <w:color w:val="0563C1"/>
            <w:sz w:val="16"/>
            <w:szCs w:val="16"/>
            <w:u w:val="single"/>
          </w:rPr>
          <w:t>http://www.cao-ombudsman.org/cases/case_detail.aspx?id=165</w:t>
        </w:r>
      </w:hyperlink>
      <w:r>
        <w:rPr>
          <w:color w:val="000000"/>
          <w:sz w:val="16"/>
          <w:szCs w:val="16"/>
        </w:rPr>
        <w:t>); RCBC bank in the Philippines (</w:t>
      </w:r>
      <w:hyperlink r:id="rId11">
        <w:r>
          <w:rPr>
            <w:color w:val="0563C1"/>
            <w:sz w:val="16"/>
            <w:szCs w:val="16"/>
            <w:u w:val="single"/>
          </w:rPr>
          <w:t>http://www.cao-ombudsman.org/cases/case_detail.aspx?id=1266</w:t>
        </w:r>
      </w:hyperlink>
      <w:r>
        <w:rPr>
          <w:color w:val="000000"/>
          <w:sz w:val="16"/>
          <w:szCs w:val="16"/>
        </w:rPr>
        <w:t xml:space="preserve">); </w:t>
      </w:r>
      <w:proofErr w:type="spellStart"/>
      <w:r>
        <w:rPr>
          <w:color w:val="000000"/>
          <w:sz w:val="16"/>
          <w:szCs w:val="16"/>
        </w:rPr>
        <w:t>Ficohsa</w:t>
      </w:r>
      <w:proofErr w:type="spellEnd"/>
      <w:r>
        <w:rPr>
          <w:color w:val="000000"/>
          <w:sz w:val="16"/>
          <w:szCs w:val="16"/>
        </w:rPr>
        <w:t xml:space="preserve"> Honduras (</w:t>
      </w:r>
      <w:hyperlink r:id="rId12">
        <w:r>
          <w:rPr>
            <w:color w:val="0563C1"/>
            <w:sz w:val="16"/>
            <w:szCs w:val="16"/>
            <w:u w:val="single"/>
          </w:rPr>
          <w:t>http://www.cao-ombudsman.org/cases/case_detail.aspx?id=209</w:t>
        </w:r>
      </w:hyperlink>
      <w:r>
        <w:rPr>
          <w:color w:val="000000"/>
          <w:sz w:val="16"/>
          <w:szCs w:val="16"/>
        </w:rPr>
        <w:t>) and Dragon Capital Cambodia (</w:t>
      </w:r>
      <w:hyperlink r:id="rId13">
        <w:r>
          <w:rPr>
            <w:color w:val="0563C1"/>
            <w:sz w:val="16"/>
            <w:szCs w:val="16"/>
            <w:u w:val="single"/>
          </w:rPr>
          <w:t>http://www.cao-ombudsman.org/cases/case_detail.aspx?id=212</w:t>
        </w:r>
      </w:hyperlink>
      <w:r>
        <w:rPr>
          <w:color w:val="000000"/>
          <w:sz w:val="16"/>
          <w:szCs w:val="16"/>
        </w:rPr>
        <w:t xml:space="preserve">). </w:t>
      </w:r>
    </w:p>
  </w:footnote>
  <w:footnote w:id="9">
    <w:p w14:paraId="000000AD" w14:textId="77777777" w:rsidR="001D64D0" w:rsidRDefault="009245D5">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IFC (2015) IFC’s Work with Financial Intermediaries; see: </w:t>
      </w:r>
      <w:hyperlink r:id="rId14">
        <w:r>
          <w:rPr>
            <w:color w:val="0563C1"/>
            <w:sz w:val="16"/>
            <w:szCs w:val="16"/>
            <w:u w:val="single"/>
          </w:rPr>
          <w:t>https://www.ifc.org/wps/wcm/connect/1c3013804a260251bf70bfe54d141794/IFC_FI_FactSheet_April2015.pdf?MOD=AJPERES</w:t>
        </w:r>
      </w:hyperlink>
      <w:r>
        <w:rPr>
          <w:color w:val="000000"/>
          <w:sz w:val="16"/>
          <w:szCs w:val="16"/>
        </w:rPr>
        <w:t xml:space="preserve"> </w:t>
      </w:r>
    </w:p>
  </w:footnote>
  <w:footnote w:id="10">
    <w:p w14:paraId="000000AE" w14:textId="77777777" w:rsidR="001D64D0" w:rsidRDefault="009245D5">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IFC (2017) Sustainable Practices for Private Equity Funds Business see: </w:t>
      </w:r>
      <w:hyperlink r:id="rId15">
        <w:r>
          <w:rPr>
            <w:color w:val="0563C1"/>
            <w:sz w:val="16"/>
            <w:szCs w:val="16"/>
            <w:u w:val="single"/>
          </w:rPr>
          <w:t>https://medium.com/@IFC_org/sustainable-practices-for-private-equity-funds-business-5d841850f7c5</w:t>
        </w:r>
      </w:hyperlink>
      <w:r>
        <w:rPr>
          <w:color w:val="000000"/>
          <w:sz w:val="16"/>
          <w:szCs w:val="16"/>
        </w:rPr>
        <w:t xml:space="preserve"> </w:t>
      </w:r>
    </w:p>
  </w:footnote>
  <w:footnote w:id="11">
    <w:p w14:paraId="000000AF" w14:textId="77777777" w:rsidR="001D64D0" w:rsidRDefault="009245D5">
      <w:pPr>
        <w:pBdr>
          <w:top w:val="nil"/>
          <w:left w:val="nil"/>
          <w:bottom w:val="nil"/>
          <w:right w:val="nil"/>
          <w:between w:val="nil"/>
        </w:pBdr>
        <w:rPr>
          <w:color w:val="000000"/>
          <w:sz w:val="20"/>
          <w:szCs w:val="20"/>
        </w:rPr>
      </w:pPr>
      <w:r>
        <w:rPr>
          <w:vertAlign w:val="superscript"/>
        </w:rPr>
        <w:footnoteRef/>
      </w:r>
      <w:r>
        <w:rPr>
          <w:color w:val="000000"/>
          <w:sz w:val="16"/>
          <w:szCs w:val="16"/>
        </w:rPr>
        <w:t xml:space="preserve"> Le </w:t>
      </w:r>
      <w:proofErr w:type="spellStart"/>
      <w:r>
        <w:rPr>
          <w:color w:val="000000"/>
          <w:sz w:val="16"/>
          <w:szCs w:val="16"/>
        </w:rPr>
        <w:t>Houérou</w:t>
      </w:r>
      <w:proofErr w:type="spellEnd"/>
      <w:r>
        <w:rPr>
          <w:color w:val="000000"/>
          <w:sz w:val="16"/>
          <w:szCs w:val="16"/>
        </w:rPr>
        <w:t xml:space="preserve">, Philippe (2018) in </w:t>
      </w:r>
      <w:proofErr w:type="spellStart"/>
      <w:r>
        <w:rPr>
          <w:color w:val="000000"/>
          <w:sz w:val="16"/>
          <w:szCs w:val="16"/>
        </w:rPr>
        <w:t>Devex</w:t>
      </w:r>
      <w:proofErr w:type="spellEnd"/>
      <w:r>
        <w:rPr>
          <w:color w:val="000000"/>
          <w:sz w:val="16"/>
          <w:szCs w:val="16"/>
        </w:rPr>
        <w:t xml:space="preserve"> see: </w:t>
      </w:r>
      <w:hyperlink r:id="rId16">
        <w:r>
          <w:rPr>
            <w:color w:val="0563C1"/>
            <w:sz w:val="16"/>
            <w:szCs w:val="16"/>
            <w:u w:val="single"/>
          </w:rPr>
          <w:t>https://www.devex.com/news/opinion-a-new-ifc-vision-for-greening-banks-in-emerging-markets-93599</w:t>
        </w:r>
      </w:hyperlink>
      <w:r>
        <w:rPr>
          <w:color w:val="000000"/>
          <w:sz w:val="16"/>
          <w:szCs w:val="16"/>
        </w:rPr>
        <w:t xml:space="preserve"> </w:t>
      </w:r>
    </w:p>
  </w:footnote>
  <w:footnote w:id="12">
    <w:p w14:paraId="000000B0" w14:textId="77777777" w:rsidR="001D64D0" w:rsidRDefault="009245D5">
      <w:pPr>
        <w:pBdr>
          <w:top w:val="nil"/>
          <w:left w:val="nil"/>
          <w:bottom w:val="nil"/>
          <w:right w:val="nil"/>
          <w:between w:val="nil"/>
        </w:pBdr>
        <w:rPr>
          <w:color w:val="222222"/>
          <w:sz w:val="16"/>
          <w:szCs w:val="16"/>
        </w:rPr>
      </w:pPr>
      <w:r>
        <w:rPr>
          <w:vertAlign w:val="superscript"/>
        </w:rPr>
        <w:footnoteRef/>
      </w:r>
      <w:r>
        <w:rPr>
          <w:color w:val="000000"/>
          <w:sz w:val="16"/>
          <w:szCs w:val="16"/>
        </w:rPr>
        <w:t xml:space="preserve"> The EBRD referral list is as follows: </w:t>
      </w:r>
      <w:r>
        <w:rPr>
          <w:b/>
          <w:color w:val="222222"/>
          <w:sz w:val="16"/>
          <w:szCs w:val="16"/>
        </w:rPr>
        <w:t>PR9 Annex 2 The FI Referral List </w:t>
      </w:r>
    </w:p>
    <w:p w14:paraId="000000B1" w14:textId="77777777" w:rsidR="001D64D0" w:rsidRDefault="009245D5">
      <w:pPr>
        <w:pBdr>
          <w:top w:val="nil"/>
          <w:left w:val="nil"/>
          <w:bottom w:val="nil"/>
          <w:right w:val="nil"/>
          <w:between w:val="nil"/>
        </w:pBdr>
        <w:rPr>
          <w:color w:val="222222"/>
          <w:sz w:val="16"/>
          <w:szCs w:val="16"/>
        </w:rPr>
      </w:pPr>
      <w:r>
        <w:rPr>
          <w:color w:val="222222"/>
          <w:sz w:val="16"/>
          <w:szCs w:val="16"/>
        </w:rPr>
        <w:t>The financing by FIs of the following environmentally or socially sensitive business activities financed with EBRD funds is subject to referral to EBRD: </w:t>
      </w:r>
    </w:p>
    <w:p w14:paraId="000000B2" w14:textId="77777777" w:rsidR="001D64D0" w:rsidRDefault="009245D5">
      <w:pPr>
        <w:pBdr>
          <w:top w:val="nil"/>
          <w:left w:val="nil"/>
          <w:bottom w:val="nil"/>
          <w:right w:val="nil"/>
          <w:between w:val="nil"/>
        </w:pBdr>
        <w:rPr>
          <w:color w:val="222222"/>
          <w:sz w:val="16"/>
          <w:szCs w:val="16"/>
        </w:rPr>
      </w:pPr>
      <w:r>
        <w:rPr>
          <w:i/>
          <w:color w:val="222222"/>
          <w:sz w:val="16"/>
          <w:szCs w:val="16"/>
        </w:rPr>
        <w:t>The principal Performance Requirement that proposed transactions will be expected to meet is indicated in italics. </w:t>
      </w:r>
    </w:p>
    <w:p w14:paraId="000000B3" w14:textId="77777777" w:rsidR="001D64D0" w:rsidRDefault="009245D5">
      <w:pPr>
        <w:pBdr>
          <w:top w:val="nil"/>
          <w:left w:val="nil"/>
          <w:bottom w:val="nil"/>
          <w:right w:val="nil"/>
          <w:between w:val="nil"/>
        </w:pBdr>
        <w:spacing w:after="38"/>
        <w:rPr>
          <w:color w:val="222222"/>
          <w:sz w:val="16"/>
          <w:szCs w:val="16"/>
        </w:rPr>
      </w:pPr>
      <w:r>
        <w:rPr>
          <w:color w:val="222222"/>
          <w:sz w:val="16"/>
          <w:szCs w:val="16"/>
        </w:rPr>
        <w:t>(</w:t>
      </w:r>
      <w:proofErr w:type="spellStart"/>
      <w:r>
        <w:rPr>
          <w:color w:val="222222"/>
          <w:sz w:val="16"/>
          <w:szCs w:val="16"/>
        </w:rPr>
        <w:t>i</w:t>
      </w:r>
      <w:proofErr w:type="spellEnd"/>
      <w:r>
        <w:rPr>
          <w:color w:val="222222"/>
          <w:sz w:val="16"/>
          <w:szCs w:val="16"/>
        </w:rPr>
        <w:t>) Activities involving involuntary resettlement - </w:t>
      </w:r>
      <w:r>
        <w:rPr>
          <w:i/>
          <w:color w:val="222222"/>
          <w:sz w:val="16"/>
          <w:szCs w:val="16"/>
        </w:rPr>
        <w:t>EBRD Performance Requirement 5 </w:t>
      </w:r>
    </w:p>
    <w:p w14:paraId="000000B4" w14:textId="77777777" w:rsidR="001D64D0" w:rsidRDefault="009245D5">
      <w:pPr>
        <w:pBdr>
          <w:top w:val="nil"/>
          <w:left w:val="nil"/>
          <w:bottom w:val="nil"/>
          <w:right w:val="nil"/>
          <w:between w:val="nil"/>
        </w:pBdr>
        <w:spacing w:after="38"/>
        <w:rPr>
          <w:color w:val="222222"/>
          <w:sz w:val="16"/>
          <w:szCs w:val="16"/>
        </w:rPr>
      </w:pPr>
      <w:r>
        <w:rPr>
          <w:color w:val="222222"/>
          <w:sz w:val="16"/>
          <w:szCs w:val="16"/>
        </w:rPr>
        <w:t>(ii) Activities that occur within or have the potential to adversely affect an area that is protected through legal or other effective means, and/or is internationally recognised, or proposed for such status by national governments, sites of scientific interest, habitats of rare/endangered species, fisheries of economic importance, and primary/old growth forests of ecological significance - </w:t>
      </w:r>
      <w:r>
        <w:rPr>
          <w:i/>
          <w:color w:val="222222"/>
          <w:sz w:val="16"/>
          <w:szCs w:val="16"/>
        </w:rPr>
        <w:t>EBRD Performance Requirement 6 </w:t>
      </w:r>
    </w:p>
    <w:p w14:paraId="000000B5" w14:textId="77777777" w:rsidR="001D64D0" w:rsidRDefault="009245D5">
      <w:pPr>
        <w:pBdr>
          <w:top w:val="nil"/>
          <w:left w:val="nil"/>
          <w:bottom w:val="nil"/>
          <w:right w:val="nil"/>
          <w:between w:val="nil"/>
        </w:pBdr>
        <w:spacing w:after="38"/>
        <w:rPr>
          <w:color w:val="222222"/>
          <w:sz w:val="16"/>
          <w:szCs w:val="16"/>
        </w:rPr>
      </w:pPr>
      <w:r>
        <w:rPr>
          <w:color w:val="222222"/>
          <w:sz w:val="16"/>
          <w:szCs w:val="16"/>
        </w:rPr>
        <w:t>(iii) Activities within, adjacent to, or upstream of land occupied by indigenous peoples and/or vulnerable groups including lands and watercourses used for subsistence activities such as livestock grazing, hunting, or fishing - </w:t>
      </w:r>
      <w:r>
        <w:rPr>
          <w:i/>
          <w:color w:val="222222"/>
          <w:sz w:val="16"/>
          <w:szCs w:val="16"/>
        </w:rPr>
        <w:t>EBRD Performance Requirement 7 </w:t>
      </w:r>
    </w:p>
    <w:p w14:paraId="000000B6" w14:textId="77777777" w:rsidR="001D64D0" w:rsidRDefault="009245D5">
      <w:pPr>
        <w:pBdr>
          <w:top w:val="nil"/>
          <w:left w:val="nil"/>
          <w:bottom w:val="nil"/>
          <w:right w:val="nil"/>
          <w:between w:val="nil"/>
        </w:pBdr>
        <w:spacing w:after="38"/>
        <w:rPr>
          <w:color w:val="222222"/>
          <w:sz w:val="16"/>
          <w:szCs w:val="16"/>
        </w:rPr>
      </w:pPr>
      <w:r>
        <w:rPr>
          <w:color w:val="222222"/>
          <w:sz w:val="16"/>
          <w:szCs w:val="16"/>
        </w:rPr>
        <w:t>(iv) Activities which may affect adversely sites of cultural or archaeological significance -</w:t>
      </w:r>
      <w:r>
        <w:rPr>
          <w:i/>
          <w:color w:val="222222"/>
          <w:sz w:val="16"/>
          <w:szCs w:val="16"/>
        </w:rPr>
        <w:t>EBRD Performance Requirement 8 </w:t>
      </w:r>
    </w:p>
    <w:p w14:paraId="000000B7" w14:textId="77777777" w:rsidR="001D64D0" w:rsidRDefault="009245D5">
      <w:pPr>
        <w:pBdr>
          <w:top w:val="nil"/>
          <w:left w:val="nil"/>
          <w:bottom w:val="nil"/>
          <w:right w:val="nil"/>
          <w:between w:val="nil"/>
        </w:pBdr>
        <w:spacing w:after="38"/>
        <w:rPr>
          <w:color w:val="222222"/>
          <w:sz w:val="16"/>
          <w:szCs w:val="16"/>
        </w:rPr>
      </w:pPr>
      <w:r>
        <w:rPr>
          <w:color w:val="222222"/>
          <w:sz w:val="16"/>
          <w:szCs w:val="16"/>
        </w:rPr>
        <w:t>(v) Activities in the nuclear fuel production cycle (uranium mining, production, enrichment, storage or transport of nuclear fuels)101 </w:t>
      </w:r>
    </w:p>
    <w:p w14:paraId="000000B8" w14:textId="77777777" w:rsidR="001D64D0" w:rsidRDefault="009245D5">
      <w:pPr>
        <w:pBdr>
          <w:top w:val="nil"/>
          <w:left w:val="nil"/>
          <w:bottom w:val="nil"/>
          <w:right w:val="nil"/>
          <w:between w:val="nil"/>
        </w:pBdr>
        <w:spacing w:after="38"/>
        <w:rPr>
          <w:color w:val="222222"/>
          <w:sz w:val="16"/>
          <w:szCs w:val="16"/>
        </w:rPr>
      </w:pPr>
      <w:r>
        <w:rPr>
          <w:color w:val="222222"/>
          <w:sz w:val="16"/>
          <w:szCs w:val="16"/>
        </w:rPr>
        <w:t>(vi) Energy generation using nuclear fuels (excluding electricity import/export)102 </w:t>
      </w:r>
    </w:p>
    <w:p w14:paraId="000000B9" w14:textId="77777777" w:rsidR="001D64D0" w:rsidRDefault="009245D5">
      <w:pPr>
        <w:pBdr>
          <w:top w:val="nil"/>
          <w:left w:val="nil"/>
          <w:bottom w:val="nil"/>
          <w:right w:val="nil"/>
          <w:between w:val="nil"/>
        </w:pBdr>
        <w:spacing w:after="38"/>
        <w:rPr>
          <w:color w:val="222222"/>
          <w:sz w:val="16"/>
          <w:szCs w:val="16"/>
        </w:rPr>
      </w:pPr>
      <w:r>
        <w:rPr>
          <w:color w:val="222222"/>
          <w:sz w:val="16"/>
          <w:szCs w:val="16"/>
        </w:rPr>
        <w:t>(vii) Activities involving the release of GMOs into the natural environment – </w:t>
      </w:r>
      <w:r>
        <w:rPr>
          <w:i/>
          <w:color w:val="222222"/>
          <w:sz w:val="16"/>
          <w:szCs w:val="16"/>
        </w:rPr>
        <w:t>EBRD Performance Requirement 6 </w:t>
      </w:r>
    </w:p>
    <w:p w14:paraId="000000BA" w14:textId="77777777" w:rsidR="001D64D0" w:rsidRDefault="009245D5">
      <w:pPr>
        <w:pBdr>
          <w:top w:val="nil"/>
          <w:left w:val="nil"/>
          <w:bottom w:val="nil"/>
          <w:right w:val="nil"/>
          <w:between w:val="nil"/>
        </w:pBdr>
        <w:spacing w:after="38"/>
        <w:rPr>
          <w:color w:val="222222"/>
          <w:sz w:val="16"/>
          <w:szCs w:val="16"/>
        </w:rPr>
      </w:pPr>
      <w:r>
        <w:rPr>
          <w:color w:val="222222"/>
          <w:sz w:val="16"/>
          <w:szCs w:val="16"/>
        </w:rPr>
        <w:t>(viii) Any micro, small or medium-sized HPPs that do not trigger Category A requirements – </w:t>
      </w:r>
      <w:r>
        <w:rPr>
          <w:i/>
          <w:color w:val="222222"/>
          <w:sz w:val="16"/>
          <w:szCs w:val="16"/>
        </w:rPr>
        <w:t>EBRD Eligibility Criteria for Small Hydropower Plant Projects </w:t>
      </w:r>
    </w:p>
    <w:p w14:paraId="000000BB" w14:textId="77777777" w:rsidR="001D64D0" w:rsidRDefault="009245D5">
      <w:pPr>
        <w:pBdr>
          <w:top w:val="nil"/>
          <w:left w:val="nil"/>
          <w:bottom w:val="nil"/>
          <w:right w:val="nil"/>
          <w:between w:val="nil"/>
        </w:pBdr>
        <w:rPr>
          <w:color w:val="222222"/>
          <w:sz w:val="16"/>
          <w:szCs w:val="16"/>
        </w:rPr>
      </w:pPr>
      <w:r>
        <w:rPr>
          <w:color w:val="222222"/>
          <w:sz w:val="16"/>
          <w:szCs w:val="16"/>
        </w:rPr>
        <w:t>(ix) Any Category A projects included as Appendix 2 to the EBRD Environmental and Social Policy </w:t>
      </w:r>
    </w:p>
    <w:p w14:paraId="000000BC" w14:textId="77777777" w:rsidR="001D64D0" w:rsidRDefault="001D64D0">
      <w:pPr>
        <w:pBdr>
          <w:top w:val="nil"/>
          <w:left w:val="nil"/>
          <w:bottom w:val="nil"/>
          <w:right w:val="nil"/>
          <w:between w:val="nil"/>
        </w:pBdr>
        <w:rPr>
          <w:color w:val="000000"/>
          <w:sz w:val="16"/>
          <w:szCs w:val="16"/>
        </w:rPr>
      </w:pPr>
    </w:p>
  </w:footnote>
  <w:footnote w:id="13">
    <w:p w14:paraId="000000BD" w14:textId="3CB8097E" w:rsidR="001D64D0" w:rsidRDefault="009245D5">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Le </w:t>
      </w:r>
      <w:proofErr w:type="spellStart"/>
      <w:r>
        <w:rPr>
          <w:color w:val="000000"/>
          <w:sz w:val="16"/>
          <w:szCs w:val="16"/>
        </w:rPr>
        <w:t>Houérou</w:t>
      </w:r>
      <w:proofErr w:type="spellEnd"/>
      <w:r>
        <w:rPr>
          <w:color w:val="000000"/>
          <w:sz w:val="16"/>
          <w:szCs w:val="16"/>
        </w:rPr>
        <w:t xml:space="preserve">, P (2018) </w:t>
      </w:r>
      <w:hyperlink r:id="rId17" w:history="1">
        <w:r w:rsidRPr="00BA42B6">
          <w:rPr>
            <w:rStyle w:val="Hyperlink"/>
            <w:sz w:val="16"/>
            <w:szCs w:val="16"/>
          </w:rPr>
          <w:t>A new IFC vision for greening banks in emerging markets</w:t>
        </w:r>
      </w:hyperlink>
      <w:r>
        <w:rPr>
          <w:color w:val="000000"/>
          <w:sz w:val="16"/>
          <w:szCs w:val="16"/>
        </w:rPr>
        <w:t xml:space="preserve">, in </w:t>
      </w:r>
      <w:proofErr w:type="spellStart"/>
      <w:r>
        <w:rPr>
          <w:i/>
          <w:color w:val="000000"/>
          <w:sz w:val="16"/>
          <w:szCs w:val="16"/>
        </w:rPr>
        <w:t>Devex</w:t>
      </w:r>
      <w:proofErr w:type="spellEnd"/>
      <w:r>
        <w:rPr>
          <w:i/>
          <w:color w:val="000000"/>
          <w:sz w:val="16"/>
          <w:szCs w:val="16"/>
        </w:rPr>
        <w:t xml:space="preserve"> </w:t>
      </w:r>
      <w:r>
        <w:rPr>
          <w:color w:val="000000"/>
          <w:sz w:val="16"/>
          <w:szCs w:val="16"/>
        </w:rPr>
        <w:t xml:space="preserve">8 October 2018.  </w:t>
      </w:r>
    </w:p>
  </w:footnote>
  <w:footnote w:id="14">
    <w:p w14:paraId="000000BE" w14:textId="77777777" w:rsidR="001D64D0" w:rsidRDefault="009245D5">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CDC Group (2014) </w:t>
      </w:r>
      <w:hyperlink r:id="rId18">
        <w:r>
          <w:rPr>
            <w:color w:val="0563C1"/>
            <w:sz w:val="16"/>
            <w:szCs w:val="16"/>
            <w:u w:val="single"/>
          </w:rPr>
          <w:t>Policy on coal-fired power generation</w:t>
        </w:r>
      </w:hyperlink>
    </w:p>
  </w:footnote>
  <w:footnote w:id="15">
    <w:p w14:paraId="000000BF" w14:textId="77777777" w:rsidR="001D64D0" w:rsidRDefault="009245D5">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CDC Group (2014) </w:t>
      </w:r>
      <w:hyperlink r:id="rId19">
        <w:r>
          <w:rPr>
            <w:color w:val="0563C1"/>
            <w:sz w:val="16"/>
            <w:szCs w:val="16"/>
            <w:u w:val="single"/>
          </w:rPr>
          <w:t>Policy on coal-fired power generation</w:t>
        </w:r>
      </w:hyperlink>
      <w:r>
        <w:rPr>
          <w:color w:val="000000"/>
          <w:sz w:val="16"/>
          <w:szCs w:val="16"/>
        </w:rPr>
        <w:t xml:space="preserve"> </w:t>
      </w:r>
    </w:p>
  </w:footnote>
  <w:footnote w:id="16">
    <w:p w14:paraId="000000C0" w14:textId="77777777" w:rsidR="001D64D0" w:rsidRDefault="009245D5">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FMO (2016)</w:t>
      </w:r>
      <w:r>
        <w:rPr>
          <w:color w:val="000000"/>
          <w:sz w:val="20"/>
          <w:szCs w:val="20"/>
        </w:rPr>
        <w:t xml:space="preserve"> </w:t>
      </w:r>
      <w:hyperlink r:id="rId20">
        <w:r>
          <w:rPr>
            <w:color w:val="0563C1"/>
            <w:sz w:val="16"/>
            <w:szCs w:val="16"/>
            <w:u w:val="single"/>
          </w:rPr>
          <w:t>Position Statement on Coal Power Generation and Coal Mining</w:t>
        </w:r>
      </w:hyperlink>
      <w:r>
        <w:rPr>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79BE0" w14:textId="74707285" w:rsidR="00FF6DEB" w:rsidRDefault="00FF6DEB" w:rsidP="00FF6DEB">
    <w:r>
      <w:rPr>
        <w:noProof/>
      </w:rPr>
      <w:drawing>
        <wp:inline distT="0" distB="0" distL="0" distR="0" wp14:anchorId="751B6F12" wp14:editId="0AD4BB30">
          <wp:extent cx="2049517" cy="5316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C-logo-color.png"/>
                  <pic:cNvPicPr/>
                </pic:nvPicPr>
                <pic:blipFill>
                  <a:blip r:embed="rId1">
                    <a:extLst>
                      <a:ext uri="{28A0092B-C50C-407E-A947-70E740481C1C}">
                        <a14:useLocalDpi xmlns:a14="http://schemas.microsoft.com/office/drawing/2010/main" val="0"/>
                      </a:ext>
                    </a:extLst>
                  </a:blip>
                  <a:stretch>
                    <a:fillRect/>
                  </a:stretch>
                </pic:blipFill>
                <pic:spPr>
                  <a:xfrm>
                    <a:off x="0" y="0"/>
                    <a:ext cx="2160281" cy="560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C64A6"/>
    <w:multiLevelType w:val="multilevel"/>
    <w:tmpl w:val="FB7A211E"/>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C7418C"/>
    <w:multiLevelType w:val="multilevel"/>
    <w:tmpl w:val="AE50B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8F51D9"/>
    <w:multiLevelType w:val="multilevel"/>
    <w:tmpl w:val="856E6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F03855"/>
    <w:multiLevelType w:val="multilevel"/>
    <w:tmpl w:val="86862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026C00"/>
    <w:multiLevelType w:val="multilevel"/>
    <w:tmpl w:val="1F5C885E"/>
    <w:lvl w:ilvl="0">
      <w:start w:val="1"/>
      <w:numFmt w:val="lowerLetter"/>
      <w:lvlText w:val=""/>
      <w:lvlJc w:val="left"/>
      <w:pPr>
        <w:ind w:left="0" w:firstLine="0"/>
      </w:pPr>
    </w:lvl>
    <w:lvl w:ilvl="1">
      <w:start w:val="1"/>
      <w:numFmt w:val="decimal"/>
      <w:lvlText w:val=""/>
      <w:lvlJc w:val="left"/>
      <w:pPr>
        <w:ind w:left="0" w:firstLine="0"/>
      </w:pPr>
    </w:lvl>
    <w:lvl w:ilvl="2">
      <w:start w:val="1"/>
      <w:numFmt w:val="lowerLetter"/>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2C558DC"/>
    <w:multiLevelType w:val="multilevel"/>
    <w:tmpl w:val="8E364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27232D"/>
    <w:multiLevelType w:val="multilevel"/>
    <w:tmpl w:val="66D2223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75E336D"/>
    <w:multiLevelType w:val="multilevel"/>
    <w:tmpl w:val="173E05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26618A"/>
    <w:multiLevelType w:val="multilevel"/>
    <w:tmpl w:val="7F50C71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8"/>
  </w:num>
  <w:num w:numId="3">
    <w:abstractNumId w:val="2"/>
  </w:num>
  <w:num w:numId="4">
    <w:abstractNumId w:val="6"/>
  </w:num>
  <w:num w:numId="5">
    <w:abstractNumId w:val="0"/>
  </w:num>
  <w:num w:numId="6">
    <w:abstractNumId w:val="7"/>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D0"/>
    <w:rsid w:val="00044172"/>
    <w:rsid w:val="00074A39"/>
    <w:rsid w:val="000A006C"/>
    <w:rsid w:val="000B2F7B"/>
    <w:rsid w:val="001213DC"/>
    <w:rsid w:val="00122C80"/>
    <w:rsid w:val="0015077F"/>
    <w:rsid w:val="001869EA"/>
    <w:rsid w:val="001D64D0"/>
    <w:rsid w:val="001E56BC"/>
    <w:rsid w:val="00235F3C"/>
    <w:rsid w:val="002C0B84"/>
    <w:rsid w:val="002D087D"/>
    <w:rsid w:val="002D4BA8"/>
    <w:rsid w:val="00397B00"/>
    <w:rsid w:val="003D67F3"/>
    <w:rsid w:val="00490F70"/>
    <w:rsid w:val="004B5824"/>
    <w:rsid w:val="004F725C"/>
    <w:rsid w:val="00515F81"/>
    <w:rsid w:val="00537503"/>
    <w:rsid w:val="005A3839"/>
    <w:rsid w:val="00600E85"/>
    <w:rsid w:val="00615BDD"/>
    <w:rsid w:val="006265AA"/>
    <w:rsid w:val="006644B0"/>
    <w:rsid w:val="006C75A6"/>
    <w:rsid w:val="006F342A"/>
    <w:rsid w:val="008178CC"/>
    <w:rsid w:val="0082218A"/>
    <w:rsid w:val="00845173"/>
    <w:rsid w:val="00886477"/>
    <w:rsid w:val="00893FD2"/>
    <w:rsid w:val="009245D5"/>
    <w:rsid w:val="009708A9"/>
    <w:rsid w:val="009B5B7A"/>
    <w:rsid w:val="00A12C85"/>
    <w:rsid w:val="00A12D96"/>
    <w:rsid w:val="00A27570"/>
    <w:rsid w:val="00A67DA3"/>
    <w:rsid w:val="00AA6E1E"/>
    <w:rsid w:val="00B65D49"/>
    <w:rsid w:val="00B77985"/>
    <w:rsid w:val="00B828AD"/>
    <w:rsid w:val="00BA42B6"/>
    <w:rsid w:val="00BB5E79"/>
    <w:rsid w:val="00BC363B"/>
    <w:rsid w:val="00BE4979"/>
    <w:rsid w:val="00C456F8"/>
    <w:rsid w:val="00C75C60"/>
    <w:rsid w:val="00C778AE"/>
    <w:rsid w:val="00CD4C6D"/>
    <w:rsid w:val="00CF374E"/>
    <w:rsid w:val="00D04C7C"/>
    <w:rsid w:val="00D30601"/>
    <w:rsid w:val="00D94830"/>
    <w:rsid w:val="00E975E3"/>
    <w:rsid w:val="00ED3784"/>
    <w:rsid w:val="00F10831"/>
    <w:rsid w:val="00F7182E"/>
    <w:rsid w:val="00F91EFC"/>
    <w:rsid w:val="00F929E8"/>
    <w:rsid w:val="00F96FCE"/>
    <w:rsid w:val="00FA2D3A"/>
    <w:rsid w:val="00FC5221"/>
    <w:rsid w:val="00FD4FD8"/>
    <w:rsid w:val="00FF3DD0"/>
    <w:rsid w:val="00FF4CA2"/>
    <w:rsid w:val="00FF6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D6FD"/>
  <w15:docId w15:val="{D12609BE-E9AE-5D45-AB6A-20599830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9708A9"/>
    <w:rPr>
      <w:sz w:val="20"/>
      <w:szCs w:val="20"/>
    </w:rPr>
  </w:style>
  <w:style w:type="character" w:customStyle="1" w:styleId="FootnoteTextChar">
    <w:name w:val="Footnote Text Char"/>
    <w:basedOn w:val="DefaultParagraphFont"/>
    <w:link w:val="FootnoteText"/>
    <w:uiPriority w:val="99"/>
    <w:semiHidden/>
    <w:rsid w:val="009708A9"/>
    <w:rPr>
      <w:sz w:val="20"/>
      <w:szCs w:val="20"/>
    </w:rPr>
  </w:style>
  <w:style w:type="character" w:styleId="FootnoteReference">
    <w:name w:val="footnote reference"/>
    <w:basedOn w:val="DefaultParagraphFont"/>
    <w:uiPriority w:val="99"/>
    <w:semiHidden/>
    <w:unhideWhenUsed/>
    <w:rsid w:val="009708A9"/>
    <w:rPr>
      <w:vertAlign w:val="superscript"/>
    </w:rPr>
  </w:style>
  <w:style w:type="character" w:styleId="Hyperlink">
    <w:name w:val="Hyperlink"/>
    <w:basedOn w:val="DefaultParagraphFont"/>
    <w:uiPriority w:val="99"/>
    <w:unhideWhenUsed/>
    <w:rsid w:val="009708A9"/>
    <w:rPr>
      <w:color w:val="0000FF" w:themeColor="hyperlink"/>
      <w:u w:val="single"/>
    </w:rPr>
  </w:style>
  <w:style w:type="character" w:styleId="UnresolvedMention">
    <w:name w:val="Unresolved Mention"/>
    <w:basedOn w:val="DefaultParagraphFont"/>
    <w:uiPriority w:val="99"/>
    <w:semiHidden/>
    <w:unhideWhenUsed/>
    <w:rsid w:val="009708A9"/>
    <w:rPr>
      <w:color w:val="605E5C"/>
      <w:shd w:val="clear" w:color="auto" w:fill="E1DFDD"/>
    </w:rPr>
  </w:style>
  <w:style w:type="paragraph" w:styleId="Header">
    <w:name w:val="header"/>
    <w:basedOn w:val="Normal"/>
    <w:link w:val="HeaderChar"/>
    <w:uiPriority w:val="99"/>
    <w:unhideWhenUsed/>
    <w:rsid w:val="00FF6DEB"/>
    <w:pPr>
      <w:tabs>
        <w:tab w:val="center" w:pos="4680"/>
        <w:tab w:val="right" w:pos="9360"/>
      </w:tabs>
    </w:pPr>
  </w:style>
  <w:style w:type="character" w:customStyle="1" w:styleId="HeaderChar">
    <w:name w:val="Header Char"/>
    <w:basedOn w:val="DefaultParagraphFont"/>
    <w:link w:val="Header"/>
    <w:uiPriority w:val="99"/>
    <w:rsid w:val="00FF6DEB"/>
  </w:style>
  <w:style w:type="paragraph" w:styleId="Footer">
    <w:name w:val="footer"/>
    <w:basedOn w:val="Normal"/>
    <w:link w:val="FooterChar"/>
    <w:uiPriority w:val="99"/>
    <w:unhideWhenUsed/>
    <w:rsid w:val="00FF6DEB"/>
    <w:pPr>
      <w:tabs>
        <w:tab w:val="center" w:pos="4680"/>
        <w:tab w:val="right" w:pos="9360"/>
      </w:tabs>
    </w:pPr>
  </w:style>
  <w:style w:type="character" w:customStyle="1" w:styleId="FooterChar">
    <w:name w:val="Footer Char"/>
    <w:basedOn w:val="DefaultParagraphFont"/>
    <w:link w:val="Footer"/>
    <w:uiPriority w:val="99"/>
    <w:rsid w:val="00FF6DEB"/>
  </w:style>
  <w:style w:type="paragraph" w:customStyle="1" w:styleId="m58616789185705682msolistparagraph">
    <w:name w:val="m_58616789185705682msolistparagraph"/>
    <w:basedOn w:val="Normal"/>
    <w:rsid w:val="00600E85"/>
    <w:pPr>
      <w:spacing w:before="100" w:beforeAutospacing="1" w:after="100" w:afterAutospacing="1"/>
    </w:pPr>
    <w:rPr>
      <w:rFonts w:ascii="Times New Roman" w:eastAsia="Times New Roman" w:hAnsi="Times New Roman" w:cs="Times New Roman"/>
    </w:rPr>
  </w:style>
  <w:style w:type="character" w:customStyle="1" w:styleId="m58616789185705682defaultfonthxmailstyle">
    <w:name w:val="m_58616789185705682defaultfonthxmailstyle"/>
    <w:basedOn w:val="DefaultParagraphFont"/>
    <w:rsid w:val="00600E85"/>
  </w:style>
  <w:style w:type="character" w:styleId="FollowedHyperlink">
    <w:name w:val="FollowedHyperlink"/>
    <w:basedOn w:val="DefaultParagraphFont"/>
    <w:uiPriority w:val="99"/>
    <w:semiHidden/>
    <w:unhideWhenUsed/>
    <w:rsid w:val="000B2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647825">
      <w:bodyDiv w:val="1"/>
      <w:marLeft w:val="0"/>
      <w:marRight w:val="0"/>
      <w:marTop w:val="0"/>
      <w:marBottom w:val="0"/>
      <w:divBdr>
        <w:top w:val="none" w:sz="0" w:space="0" w:color="auto"/>
        <w:left w:val="none" w:sz="0" w:space="0" w:color="auto"/>
        <w:bottom w:val="none" w:sz="0" w:space="0" w:color="auto"/>
        <w:right w:val="none" w:sz="0" w:space="0" w:color="auto"/>
      </w:divBdr>
    </w:div>
    <w:div w:id="1138958664">
      <w:bodyDiv w:val="1"/>
      <w:marLeft w:val="0"/>
      <w:marRight w:val="0"/>
      <w:marTop w:val="0"/>
      <w:marBottom w:val="0"/>
      <w:divBdr>
        <w:top w:val="none" w:sz="0" w:space="0" w:color="auto"/>
        <w:left w:val="none" w:sz="0" w:space="0" w:color="auto"/>
        <w:bottom w:val="none" w:sz="0" w:space="0" w:color="auto"/>
        <w:right w:val="none" w:sz="0" w:space="0" w:color="auto"/>
      </w:divBdr>
    </w:div>
    <w:div w:id="2116172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c.org/wps/wcm/connect/38d1a68049ddf966af3cbfda80c2ddf3/FI+Interpretation+Note+November+2018.pdf?MOD=AJPERES" TargetMode="External"/><Relationship Id="rId4" Type="http://schemas.openxmlformats.org/officeDocument/2006/relationships/settings" Target="settings.xml"/><Relationship Id="rId9" Type="http://schemas.openxmlformats.org/officeDocument/2006/relationships/hyperlink" Target="http://350.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xfamilibrary.openrepository.com/bitstream/handle/10546/620559/bp-financial-institutions-disclosure-161018-en.pdf" TargetMode="External"/><Relationship Id="rId13" Type="http://schemas.openxmlformats.org/officeDocument/2006/relationships/hyperlink" Target="http://www.cao-ombudsman.org/cases/case_detail.aspx?id=212" TargetMode="External"/><Relationship Id="rId18" Type="http://schemas.openxmlformats.org/officeDocument/2006/relationships/hyperlink" Target="https://assets.cdcgroup.com/wp-content/uploads/2018/09/08155012/Policy_on_Coal-Fired_Power_Generation__January_2014_.pdf" TargetMode="External"/><Relationship Id="rId3" Type="http://schemas.openxmlformats.org/officeDocument/2006/relationships/hyperlink" Target="https://www.inclusivedevelopment.net/wp-content/uploads/2019/01/Financing-development-in-Myanmar-FINAL.pdf" TargetMode="External"/><Relationship Id="rId7" Type="http://schemas.openxmlformats.org/officeDocument/2006/relationships/hyperlink" Target="https://www.inclusivedevelopment.net/what-we-do/campaigns/outsourcing-development/" TargetMode="External"/><Relationship Id="rId12" Type="http://schemas.openxmlformats.org/officeDocument/2006/relationships/hyperlink" Target="http://www.cao-ombudsman.org/cases/case_detail.aspx?id=209" TargetMode="External"/><Relationship Id="rId17" Type="http://schemas.openxmlformats.org/officeDocument/2006/relationships/hyperlink" Target="https://www.devex.com/news/opinion-a-new-ifc-vision-for-greening-banks-in-emerging-markets-93599" TargetMode="External"/><Relationship Id="rId2" Type="http://schemas.openxmlformats.org/officeDocument/2006/relationships/hyperlink" Target="https://www.inclusivedevelopment.net/wp-content/uploads/2018/09/Moving-beyond-rhetoric_FINAL.pdf" TargetMode="External"/><Relationship Id="rId16" Type="http://schemas.openxmlformats.org/officeDocument/2006/relationships/hyperlink" Target="https://www.devex.com/news/opinion-a-new-ifc-vision-for-greening-banks-in-emerging-markets-93599" TargetMode="External"/><Relationship Id="rId20" Type="http://schemas.openxmlformats.org/officeDocument/2006/relationships/hyperlink" Target="https://www.fmo.nl/l/library/download/urn:uuid:bc67f804-1588-4542-8ac8-5f168b5f417f/position+statement+on+coal.pdf?format=save_to_disk&amp;ext=.pdf" TargetMode="External"/><Relationship Id="rId1" Type="http://schemas.openxmlformats.org/officeDocument/2006/relationships/hyperlink" Target="https://bic-europe.org/news/aiib-urged-to-take-on-lessons-learned-in-risky-lending/" TargetMode="External"/><Relationship Id="rId6" Type="http://schemas.openxmlformats.org/officeDocument/2006/relationships/hyperlink" Target="http://www.cao-ombudsman.org/newsroom/documents/FIAUDIT.htm" TargetMode="External"/><Relationship Id="rId11" Type="http://schemas.openxmlformats.org/officeDocument/2006/relationships/hyperlink" Target="http://www.cao-ombudsman.org/cases/case_detail.aspx?id=1266" TargetMode="External"/><Relationship Id="rId5" Type="http://schemas.openxmlformats.org/officeDocument/2006/relationships/hyperlink" Target="https://www.cenfa.org/publications/briefing-note-aiibs-investment-in-the-niif-why-is-it-a-risky-venture/" TargetMode="External"/><Relationship Id="rId15" Type="http://schemas.openxmlformats.org/officeDocument/2006/relationships/hyperlink" Target="https://medium.com/@IFC_org/sustainable-practices-for-private-equity-funds-business-5d841850f7c5" TargetMode="External"/><Relationship Id="rId10" Type="http://schemas.openxmlformats.org/officeDocument/2006/relationships/hyperlink" Target="http://www.cao-ombudsman.org/cases/case_detail.aspx?id=165" TargetMode="External"/><Relationship Id="rId19" Type="http://schemas.openxmlformats.org/officeDocument/2006/relationships/hyperlink" Target="https://assets.cdcgroup.com/wp-content/uploads/2018/09/08155012/Policy_on_Coal-Fired_Power_Generation__January_2014_.pdf" TargetMode="External"/><Relationship Id="rId4" Type="http://schemas.openxmlformats.org/officeDocument/2006/relationships/hyperlink" Target="https://bic-europe.org/wp-content/uploads/2018/06/Risky-Venture_FINAL.pdf" TargetMode="External"/><Relationship Id="rId9" Type="http://schemas.openxmlformats.org/officeDocument/2006/relationships/hyperlink" Target="http://www.cao-ombudsman.org/cases/case_detail.aspx?id=180" TargetMode="External"/><Relationship Id="rId14" Type="http://schemas.openxmlformats.org/officeDocument/2006/relationships/hyperlink" Target="https://www.ifc.org/wps/wcm/connect/1c3013804a260251bf70bfe54d141794/IFC_FI_FactSheet_April2015.pdf?MOD=AJPE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FB0A3-AA99-9B47-8F60-BA3F333A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3214</Words>
  <Characters>18325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Geary</cp:lastModifiedBy>
  <cp:revision>65</cp:revision>
  <dcterms:created xsi:type="dcterms:W3CDTF">2019-09-04T16:13:00Z</dcterms:created>
  <dcterms:modified xsi:type="dcterms:W3CDTF">2019-09-13T07:27:00Z</dcterms:modified>
</cp:coreProperties>
</file>